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widowControl/>
        <w:jc w:val="center"/>
        <w:rPr>
          <w:rFonts w:ascii="Arial" w:hAnsi="Arial" w:eastAsia="Arial" w:cs="Arial"/>
          <w:b/>
          <w:bCs/>
          <w:sz w:val="28"/>
          <w:szCs w:val="28"/>
        </w:rPr>
      </w:pPr>
      <w:r>
        <w:rPr>
          <w:rFonts w:eastAsia="Arial" w:cs="Arial" w:ascii="Arial" w:hAnsi="Arial"/>
          <w:b/>
          <w:bCs/>
          <w:sz w:val="28"/>
          <w:szCs w:val="28"/>
        </w:rPr>
      </w:r>
    </w:p>
    <w:p>
      <w:pPr>
        <w:pStyle w:val="normal1"/>
        <w:widowControl/>
        <w:jc w:val="center"/>
        <w:rPr>
          <w:rFonts w:ascii="Arial" w:hAnsi="Arial" w:eastAsia="Arial" w:cs="Arial"/>
          <w:b/>
          <w:bCs/>
          <w:sz w:val="28"/>
          <w:szCs w:val="28"/>
        </w:rPr>
      </w:pPr>
      <w:r>
        <w:rPr>
          <w:rFonts w:eastAsia="Arial" w:cs="Arial" w:ascii="Arial" w:hAnsi="Arial"/>
          <w:b/>
          <w:bCs/>
          <w:sz w:val="28"/>
          <w:szCs w:val="28"/>
        </w:rPr>
        <w:t xml:space="preserve">    </w:t>
      </w:r>
      <w:r>
        <w:rPr>
          <w:rFonts w:eastAsia="Arial" w:cs="Arial" w:ascii="Arial" w:hAnsi="Arial"/>
          <w:b/>
          <w:bCs/>
          <w:sz w:val="28"/>
          <w:szCs w:val="28"/>
        </w:rPr>
        <w:t>EDITAL DE CONCORRÊNCIA Nº 90248/2026</w:t>
      </w:r>
    </w:p>
    <w:p>
      <w:pPr>
        <w:pStyle w:val="normal1"/>
        <w:widowControl/>
        <w:jc w:val="both"/>
        <w:rPr>
          <w:rFonts w:ascii="Arial" w:hAnsi="Arial" w:eastAsia="Arial" w:cs="Arial"/>
          <w:b/>
          <w:bCs/>
          <w:sz w:val="44"/>
          <w:szCs w:val="44"/>
        </w:rPr>
      </w:pPr>
      <w:r>
        <w:rPr>
          <w:rFonts w:eastAsia="Arial" w:cs="Arial" w:ascii="Arial" w:hAnsi="Arial"/>
          <w:b/>
          <w:bCs/>
          <w:sz w:val="44"/>
          <w:szCs w:val="44"/>
        </w:rPr>
      </w:r>
    </w:p>
    <w:tbl>
      <w:tblPr>
        <w:tblStyle w:val="Table1"/>
        <w:tblpPr w:vertAnchor="margin" w:horzAnchor="margin" w:bottomFromText="180" w:leftFromText="180" w:rightFromText="180" w:topFromText="180" w:tblpX="665" w:tblpY="1036"/>
        <w:tblW w:w="9780" w:type="dxa"/>
        <w:jc w:val="start"/>
        <w:tblInd w:w="-10" w:type="dxa"/>
        <w:tblLayout w:type="fixed"/>
        <w:tblCellMar>
          <w:top w:w="100" w:type="dxa"/>
          <w:start w:w="100" w:type="dxa"/>
          <w:bottom w:w="100" w:type="dxa"/>
          <w:end w:w="100" w:type="dxa"/>
        </w:tblCellMar>
        <w:tblLook w:val="0600"/>
      </w:tblPr>
      <w:tblGrid>
        <w:gridCol w:w="4875"/>
        <w:gridCol w:w="4905"/>
      </w:tblGrid>
      <w:tr>
        <w:trPr>
          <w:trHeight w:val="465" w:hRule="atLeast"/>
        </w:trPr>
        <w:tc>
          <w:tcPr>
            <w:tcW w:w="9780" w:type="dxa"/>
            <w:gridSpan w:val="2"/>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b/>
                <w:bCs/>
              </w:rPr>
            </w:pPr>
            <w:sdt>
              <w:sdtPr>
                <w:tag w:val="goog_rdk_0"/>
                <w:id w:val="-89888116"/>
                <w:lock w:val="contentLocked"/>
                <w:text/>
              </w:sdtPr>
              <w:sdtContent>
                <w:r>
                  <w:rPr>
                    <w:rFonts w:eastAsia="Arial" w:cs="Arial" w:ascii="Arial" w:hAnsi="Arial"/>
                    <w:b/>
                    <w:bCs/>
                  </w:rPr>
                </w:r>
                <w:r>
                  <w:rPr>
                    <w:rFonts w:eastAsia="Arial" w:cs="Arial" w:ascii="Arial" w:hAnsi="Arial"/>
                    <w:b/>
                    <w:bCs/>
                  </w:rPr>
                  <w:t>RESUMO DO EDITAL</w:t>
                </w:r>
              </w:sdtContent>
            </w:sdt>
          </w:p>
        </w:tc>
      </w:tr>
      <w:tr>
        <w:trPr>
          <w:trHeight w:val="640" w:hRule="atLeast"/>
        </w:trPr>
        <w:tc>
          <w:tcPr>
            <w:tcW w:w="9780" w:type="dxa"/>
            <w:gridSpan w:val="2"/>
            <w:vMerge w:val="restart"/>
            <w:tcBorders>
              <w:top w:val="single" w:sz="8" w:space="0" w:color="000000"/>
              <w:start w:val="single" w:sz="8" w:space="0" w:color="000000"/>
              <w:bottom w:val="single" w:sz="8" w:space="0" w:color="000000"/>
              <w:end w:val="single" w:sz="8" w:space="0" w:color="000000"/>
            </w:tcBorders>
          </w:tcPr>
          <w:p>
            <w:pPr>
              <w:pStyle w:val="normal1"/>
              <w:jc w:val="both"/>
              <w:rPr>
                <w:rFonts w:ascii="Arial" w:hAnsi="Arial" w:eastAsia="Arial" w:cs="Arial"/>
              </w:rPr>
            </w:pPr>
            <w:r>
              <w:rPr>
                <w:rFonts w:eastAsia="Arial" w:cs="Arial" w:ascii="Arial" w:hAnsi="Arial"/>
              </w:rPr>
              <w:t>Objeto: Contratação de empresa especializada para execução de serviços de execução de drenagem e pavimentação com lajotas novas e usadas para conservação do sistema viário de Florianópolis.</w:t>
            </w:r>
          </w:p>
          <w:p>
            <w:pPr>
              <w:pStyle w:val="normal1"/>
              <w:jc w:val="both"/>
              <w:rPr>
                <w:rFonts w:ascii="Arial" w:hAnsi="Arial" w:eastAsia="Arial" w:cs="Arial"/>
              </w:rPr>
            </w:pPr>
            <w:r>
              <w:rPr>
                <w:rFonts w:eastAsia="Arial" w:cs="Arial" w:ascii="Arial" w:hAnsi="Arial"/>
              </w:rPr>
              <w:t>Valor: R$ 5.999.939,53 (cinco milhões novecentos e noventa e nove mil novecentos e trinta e nove reais e cinquenta e três centavos)</w:t>
            </w:r>
          </w:p>
          <w:p>
            <w:pPr>
              <w:pStyle w:val="normal1"/>
              <w:rPr>
                <w:rFonts w:ascii="Arial" w:hAnsi="Arial" w:eastAsia="Arial" w:cs="Arial"/>
              </w:rPr>
            </w:pPr>
            <w:r>
              <w:rPr>
                <w:rFonts w:eastAsia="Arial" w:cs="Arial" w:ascii="Arial" w:hAnsi="Arial"/>
              </w:rPr>
              <w:t>Início do recebimento das propostas: 0</w:t>
            </w:r>
            <w:r>
              <w:rPr>
                <w:rFonts w:eastAsia="Arial" w:cs="Arial" w:ascii="Arial" w:hAnsi="Arial"/>
              </w:rPr>
              <w:t>9</w:t>
            </w:r>
            <w:r>
              <w:rPr>
                <w:rFonts w:eastAsia="Arial" w:cs="Arial" w:ascii="Arial" w:hAnsi="Arial"/>
              </w:rPr>
              <w:t>/07/2026 às 8h. (horário de Brasília/DF)</w:t>
            </w:r>
          </w:p>
          <w:p>
            <w:pPr>
              <w:pStyle w:val="normal1"/>
              <w:bidi w:val="0"/>
              <w:rPr>
                <w:rFonts w:ascii="Arial" w:hAnsi="Arial" w:eastAsia="Arial" w:cs="Arial"/>
              </w:rPr>
            </w:pPr>
            <w:r>
              <w:rPr>
                <w:rFonts w:eastAsia="Arial" w:cs="Arial" w:ascii="Arial" w:hAnsi="Arial"/>
              </w:rPr>
              <w:t>Data da sessão pública: 1</w:t>
            </w:r>
            <w:r>
              <w:rPr>
                <w:rFonts w:eastAsia="Arial" w:cs="Arial" w:ascii="Arial" w:hAnsi="Arial"/>
              </w:rPr>
              <w:t>2</w:t>
            </w:r>
            <w:r>
              <w:rPr>
                <w:rFonts w:eastAsia="Arial" w:cs="Arial" w:ascii="Arial" w:hAnsi="Arial"/>
              </w:rPr>
              <w:t>/08/2026 às 14h. (horário de Brasília/DF)</w:t>
            </w:r>
          </w:p>
          <w:p>
            <w:pPr>
              <w:pStyle w:val="normal1"/>
              <w:rPr>
                <w:rFonts w:ascii="Arial" w:hAnsi="Arial" w:eastAsia="Arial" w:cs="Arial"/>
              </w:rPr>
            </w:pPr>
            <w:r>
              <w:rPr>
                <w:rFonts w:eastAsia="Arial" w:cs="Arial" w:ascii="Arial" w:hAnsi="Arial"/>
              </w:rPr>
              <w:t>Endereço Eletrônico: https://www.gov.br/compras/pt-br</w:t>
            </w:r>
          </w:p>
        </w:tc>
      </w:tr>
      <w:tr>
        <w:trPr>
          <w:trHeight w:val="640" w:hRule="atLeast"/>
        </w:trPr>
        <w:tc>
          <w:tcPr>
            <w:tcW w:w="9780" w:type="dxa"/>
            <w:gridSpan w:val="2"/>
            <w:vMerge w:val="continue"/>
            <w:tcBorders>
              <w:top w:val="single" w:sz="8" w:space="0" w:color="000000"/>
              <w:start w:val="single" w:sz="8" w:space="0" w:color="000000"/>
              <w:bottom w:val="single" w:sz="8" w:space="0" w:color="000000"/>
              <w:end w:val="single" w:sz="8" w:space="0" w:color="000000"/>
            </w:tcBorders>
          </w:tcPr>
          <w:p>
            <w:pPr>
              <w:pStyle w:val="normal1"/>
              <w:keepNext w:val="false"/>
              <w:keepLines w:val="false"/>
              <w:widowControl w:val="false"/>
              <w:shd w:val="clear" w:fill="auto"/>
              <w:spacing w:lineRule="auto" w:line="276" w:before="0" w:after="0"/>
              <w:ind w:hanging="0" w:start="0" w:end="0"/>
              <w:jc w:val="start"/>
              <w:rPr>
                <w:rFonts w:ascii="Arial" w:hAnsi="Arial" w:eastAsia="Arial" w:cs="Arial"/>
              </w:rPr>
            </w:pPr>
            <w:r>
              <w:rPr>
                <w:rFonts w:eastAsia="Arial" w:cs="Arial" w:ascii="Arial" w:hAnsi="Arial"/>
              </w:rPr>
            </w:r>
          </w:p>
        </w:tc>
      </w:tr>
      <w:tr>
        <w:trPr>
          <w:trHeight w:val="420" w:hRule="atLeast"/>
        </w:trPr>
        <w:tc>
          <w:tcPr>
            <w:tcW w:w="9780" w:type="dxa"/>
            <w:gridSpan w:val="2"/>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b/>
                <w:bCs/>
              </w:rPr>
            </w:pPr>
            <w:r>
              <w:rPr>
                <w:rFonts w:eastAsia="Arial" w:cs="Arial" w:ascii="Arial" w:hAnsi="Arial"/>
                <w:b/>
                <w:bCs/>
              </w:rPr>
              <w:t>DOCUMENTOS DE HABILITAÇÃO (VEJA ITEM 9)</w:t>
            </w:r>
          </w:p>
        </w:tc>
      </w:tr>
      <w:tr>
        <w:trPr>
          <w:trHeight w:val="1410" w:hRule="atLeast"/>
        </w:trPr>
        <w:tc>
          <w:tcPr>
            <w:tcW w:w="9780" w:type="dxa"/>
            <w:gridSpan w:val="2"/>
            <w:tcBorders>
              <w:top w:val="single" w:sz="8" w:space="0" w:color="000000"/>
              <w:start w:val="single" w:sz="8" w:space="0" w:color="000000"/>
              <w:bottom w:val="single" w:sz="8" w:space="0" w:color="000000"/>
              <w:end w:val="single" w:sz="8" w:space="0" w:color="000000"/>
            </w:tcBorders>
          </w:tcPr>
          <w:p>
            <w:pPr>
              <w:pStyle w:val="normal1"/>
              <w:rPr>
                <w:rFonts w:ascii="Arial" w:hAnsi="Arial" w:eastAsia="Arial" w:cs="Arial"/>
              </w:rPr>
            </w:pPr>
            <w:r>
              <w:rPr>
                <w:rFonts w:eastAsia="Arial" w:cs="Arial" w:ascii="Arial" w:hAnsi="Arial"/>
              </w:rPr>
              <w:t>CND Federal</w:t>
            </w:r>
          </w:p>
          <w:p>
            <w:pPr>
              <w:pStyle w:val="normal1"/>
              <w:rPr>
                <w:rFonts w:ascii="Arial" w:hAnsi="Arial" w:eastAsia="Arial" w:cs="Arial"/>
              </w:rPr>
            </w:pPr>
            <w:r>
              <w:rPr>
                <w:rFonts w:eastAsia="Arial" w:cs="Arial" w:ascii="Arial" w:hAnsi="Arial"/>
              </w:rPr>
              <w:t>CND Estadual</w:t>
            </w:r>
          </w:p>
          <w:p>
            <w:pPr>
              <w:pStyle w:val="normal1"/>
              <w:rPr>
                <w:rFonts w:ascii="Arial" w:hAnsi="Arial" w:eastAsia="Arial" w:cs="Arial"/>
              </w:rPr>
            </w:pPr>
            <w:r>
              <w:rPr>
                <w:rFonts w:eastAsia="Arial" w:cs="Arial" w:ascii="Arial" w:hAnsi="Arial"/>
              </w:rPr>
              <w:t>CND Municipal</w:t>
            </w:r>
          </w:p>
          <w:p>
            <w:pPr>
              <w:pStyle w:val="normal1"/>
              <w:rPr>
                <w:rFonts w:ascii="Arial" w:hAnsi="Arial" w:eastAsia="Arial" w:cs="Arial"/>
              </w:rPr>
            </w:pPr>
            <w:r>
              <w:rPr>
                <w:rFonts w:eastAsia="Arial" w:cs="Arial" w:ascii="Arial" w:hAnsi="Arial"/>
              </w:rPr>
              <w:t>CND FGTS</w:t>
            </w:r>
          </w:p>
          <w:p>
            <w:pPr>
              <w:pStyle w:val="normal1"/>
              <w:rPr>
                <w:rFonts w:ascii="Arial" w:hAnsi="Arial" w:eastAsia="Arial" w:cs="Arial"/>
              </w:rPr>
            </w:pPr>
            <w:r>
              <w:rPr>
                <w:rFonts w:eastAsia="Arial" w:cs="Arial" w:ascii="Arial" w:hAnsi="Arial"/>
              </w:rPr>
              <w:t>CND Trabalhista</w:t>
            </w:r>
          </w:p>
          <w:p>
            <w:pPr>
              <w:pStyle w:val="normal1"/>
              <w:rPr>
                <w:rFonts w:ascii="Arial" w:hAnsi="Arial" w:eastAsia="Arial" w:cs="Arial"/>
                <w:highlight w:val="yellow"/>
              </w:rPr>
            </w:pPr>
            <w:r>
              <w:rPr>
                <w:rFonts w:eastAsia="Arial" w:cs="Arial" w:ascii="Arial" w:hAnsi="Arial"/>
              </w:rPr>
              <w:t>Contrato Social</w:t>
            </w:r>
          </w:p>
          <w:p>
            <w:pPr>
              <w:pStyle w:val="normal1"/>
              <w:rPr>
                <w:rFonts w:ascii="Arial" w:hAnsi="Arial" w:eastAsia="Arial" w:cs="Arial"/>
              </w:rPr>
            </w:pPr>
            <w:r>
              <w:rPr>
                <w:rFonts w:eastAsia="Arial" w:cs="Arial" w:ascii="Arial" w:hAnsi="Arial"/>
              </w:rPr>
              <w:t>Prova de inscrição no Cadastro Nacional de Pessoa Jurídica (CNPJ)</w:t>
            </w:r>
          </w:p>
          <w:p>
            <w:pPr>
              <w:pStyle w:val="normal1"/>
              <w:rPr>
                <w:rFonts w:ascii="Arial" w:hAnsi="Arial" w:eastAsia="Arial" w:cs="Arial"/>
              </w:rPr>
            </w:pPr>
            <w:r>
              <w:rPr>
                <w:rFonts w:eastAsia="Arial" w:cs="Arial" w:ascii="Arial" w:hAnsi="Arial"/>
              </w:rPr>
              <w:t>Certidão de Falência</w:t>
            </w:r>
          </w:p>
          <w:p>
            <w:pPr>
              <w:pStyle w:val="normal1"/>
              <w:rPr>
                <w:rFonts w:ascii="Arial" w:hAnsi="Arial" w:eastAsia="Arial" w:cs="Arial"/>
              </w:rPr>
            </w:pPr>
            <w:r>
              <w:rPr>
                <w:rFonts w:eastAsia="Arial" w:cs="Arial" w:ascii="Arial" w:hAnsi="Arial"/>
              </w:rPr>
              <w:t>Balanço Patrimonial</w:t>
            </w:r>
          </w:p>
          <w:p>
            <w:pPr>
              <w:pStyle w:val="normal1"/>
              <w:rPr>
                <w:rFonts w:ascii="Arial" w:hAnsi="Arial" w:eastAsia="Arial" w:cs="Arial"/>
                <w:b/>
                <w:bCs/>
              </w:rPr>
            </w:pPr>
            <w:r>
              <w:rPr>
                <w:rFonts w:eastAsia="Arial" w:cs="Arial" w:ascii="Arial" w:hAnsi="Arial"/>
              </w:rPr>
              <w:t>Documentos Técnicos: item 9 - ‘n’ ao ‘r’</w:t>
            </w:r>
          </w:p>
        </w:tc>
      </w:tr>
      <w:tr>
        <w:trPr/>
        <w:tc>
          <w:tcPr>
            <w:tcW w:w="4875" w:type="dxa"/>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b/>
                <w:bCs/>
              </w:rPr>
            </w:pPr>
            <w:r>
              <w:rPr>
                <w:rFonts w:eastAsia="Arial" w:cs="Arial" w:ascii="Arial" w:hAnsi="Arial"/>
                <w:b/>
                <w:bCs/>
              </w:rPr>
              <w:t>Pedido de esclarecimento</w:t>
            </w:r>
          </w:p>
        </w:tc>
        <w:tc>
          <w:tcPr>
            <w:tcW w:w="4905" w:type="dxa"/>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b/>
                <w:bCs/>
              </w:rPr>
            </w:pPr>
            <w:r>
              <w:rPr>
                <w:rFonts w:eastAsia="Arial" w:cs="Arial" w:ascii="Arial" w:hAnsi="Arial"/>
                <w:b/>
                <w:bCs/>
              </w:rPr>
              <w:t>Impugnação</w:t>
            </w:r>
          </w:p>
        </w:tc>
      </w:tr>
      <w:tr>
        <w:trPr/>
        <w:tc>
          <w:tcPr>
            <w:tcW w:w="4875" w:type="dxa"/>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rPr>
            </w:pPr>
            <w:r>
              <w:rPr>
                <w:rFonts w:eastAsia="Arial" w:cs="Arial" w:ascii="Arial" w:hAnsi="Arial"/>
              </w:rPr>
              <w:t>Até 0</w:t>
            </w:r>
            <w:r>
              <w:rPr>
                <w:rFonts w:eastAsia="Arial" w:cs="Arial" w:ascii="Arial" w:hAnsi="Arial"/>
              </w:rPr>
              <w:t>7</w:t>
            </w:r>
            <w:r>
              <w:rPr>
                <w:rFonts w:eastAsia="Arial" w:cs="Arial" w:ascii="Arial" w:hAnsi="Arial"/>
              </w:rPr>
              <w:t>/08/2026</w:t>
            </w:r>
          </w:p>
        </w:tc>
        <w:tc>
          <w:tcPr>
            <w:tcW w:w="4905" w:type="dxa"/>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rPr>
            </w:pPr>
            <w:r>
              <w:rPr>
                <w:rFonts w:eastAsia="Arial" w:cs="Arial" w:ascii="Arial" w:hAnsi="Arial"/>
              </w:rPr>
              <w:t>Até 0</w:t>
            </w:r>
            <w:r>
              <w:rPr>
                <w:rFonts w:eastAsia="Arial" w:cs="Arial" w:ascii="Arial" w:hAnsi="Arial"/>
              </w:rPr>
              <w:t>7</w:t>
            </w:r>
            <w:r>
              <w:rPr>
                <w:rFonts w:eastAsia="Arial" w:cs="Arial" w:ascii="Arial" w:hAnsi="Arial"/>
              </w:rPr>
              <w:t>/08/2026</w:t>
            </w:r>
          </w:p>
        </w:tc>
      </w:tr>
      <w:tr>
        <w:trPr>
          <w:trHeight w:val="420" w:hRule="atLeast"/>
        </w:trPr>
        <w:tc>
          <w:tcPr>
            <w:tcW w:w="9780" w:type="dxa"/>
            <w:gridSpan w:val="2"/>
            <w:tcBorders>
              <w:top w:val="single" w:sz="8" w:space="0" w:color="000000"/>
              <w:start w:val="single" w:sz="8" w:space="0" w:color="000000"/>
              <w:bottom w:val="single" w:sz="8" w:space="0" w:color="000000"/>
              <w:end w:val="single" w:sz="8" w:space="0" w:color="000000"/>
            </w:tcBorders>
          </w:tcPr>
          <w:p>
            <w:pPr>
              <w:pStyle w:val="normal1"/>
              <w:jc w:val="center"/>
              <w:rPr>
                <w:rFonts w:ascii="Arial" w:hAnsi="Arial" w:eastAsia="Arial" w:cs="Arial"/>
                <w:b/>
                <w:bCs/>
              </w:rPr>
            </w:pPr>
            <w:r>
              <w:rPr>
                <w:rFonts w:eastAsia="Arial" w:cs="Arial" w:ascii="Arial" w:hAnsi="Arial"/>
                <w:b/>
                <w:bCs/>
              </w:rPr>
              <w:t>OBSERVAÇÕES GERAIS</w:t>
            </w:r>
          </w:p>
        </w:tc>
      </w:tr>
      <w:tr>
        <w:trPr>
          <w:trHeight w:val="1245" w:hRule="atLeast"/>
        </w:trPr>
        <w:tc>
          <w:tcPr>
            <w:tcW w:w="9780" w:type="dxa"/>
            <w:gridSpan w:val="2"/>
            <w:tcBorders>
              <w:top w:val="single" w:sz="8" w:space="0" w:color="000000"/>
              <w:start w:val="single" w:sz="8" w:space="0" w:color="000000"/>
              <w:bottom w:val="single" w:sz="8" w:space="0" w:color="000000"/>
              <w:end w:val="single" w:sz="8" w:space="0" w:color="000000"/>
            </w:tcBorders>
          </w:tcPr>
          <w:p>
            <w:pPr>
              <w:pStyle w:val="normal1"/>
              <w:numPr>
                <w:ilvl w:val="0"/>
                <w:numId w:val="20"/>
              </w:numPr>
              <w:ind w:hanging="360" w:start="720"/>
              <w:rPr>
                <w:b w:val="false"/>
                <w:bCs w:val="false"/>
              </w:rPr>
            </w:pPr>
            <w:r>
              <w:rPr>
                <w:rFonts w:eastAsia="Arial" w:cs="Arial" w:ascii="Arial" w:hAnsi="Arial"/>
              </w:rPr>
              <w:t>A disputa dar-se-á pelo modo ABERTO</w:t>
            </w:r>
          </w:p>
          <w:p>
            <w:pPr>
              <w:pStyle w:val="normal1"/>
              <w:numPr>
                <w:ilvl w:val="0"/>
                <w:numId w:val="20"/>
              </w:numPr>
              <w:ind w:hanging="360" w:start="720"/>
              <w:rPr>
                <w:shd w:fill="FFF2CC" w:val="clear"/>
              </w:rPr>
            </w:pPr>
            <w:r>
              <w:rPr>
                <w:rFonts w:eastAsia="Arial" w:cs="Arial" w:ascii="Arial" w:hAnsi="Arial"/>
                <w:b/>
                <w:bCs/>
                <w:shd w:fill="FFF2CC" w:val="clear"/>
              </w:rPr>
              <w:t>Não anexe nenhum documento no sistema, sob pena de desclassificação.</w:t>
            </w:r>
          </w:p>
          <w:p>
            <w:pPr>
              <w:pStyle w:val="normal1"/>
              <w:numPr>
                <w:ilvl w:val="0"/>
                <w:numId w:val="20"/>
              </w:numPr>
              <w:ind w:hanging="360" w:start="720"/>
              <w:jc w:val="both"/>
              <w:rPr>
                <w:b w:val="false"/>
                <w:bCs w:val="false"/>
              </w:rPr>
            </w:pPr>
            <w:r>
              <w:rPr>
                <w:rFonts w:eastAsia="Arial" w:cs="Arial" w:ascii="Arial" w:hAnsi="Arial"/>
              </w:rPr>
              <w:t xml:space="preserve">Os documentos de proposta e habilitação devem ser inseridos em até 24 (vinte e quatro) horas </w:t>
            </w:r>
            <w:r>
              <w:rPr>
                <w:rFonts w:eastAsia="Arial" w:cs="Arial" w:ascii="Arial" w:hAnsi="Arial"/>
                <w:u w:val="single"/>
              </w:rPr>
              <w:t>após</w:t>
            </w:r>
            <w:r>
              <w:rPr>
                <w:rFonts w:eastAsia="Arial" w:cs="Arial" w:ascii="Arial" w:hAnsi="Arial"/>
              </w:rPr>
              <w:t xml:space="preserve"> a solicitação do Agente de Contratação, dentro do Portal https://www.gov.br/compras/pt-br.</w:t>
            </w:r>
          </w:p>
        </w:tc>
      </w:tr>
    </w:tbl>
    <w:p>
      <w:pPr>
        <w:pStyle w:val="normal1"/>
        <w:keepNext w:val="true"/>
        <w:widowControl/>
        <w:spacing w:lineRule="auto" w:line="360"/>
        <w:ind w:hanging="0" w:start="864"/>
        <w:jc w:val="center"/>
        <w:rPr>
          <w:rFonts w:ascii="Arial" w:hAnsi="Arial" w:eastAsia="Arial" w:cs="Arial"/>
          <w:b/>
          <w:bCs/>
          <w:sz w:val="44"/>
          <w:szCs w:val="44"/>
        </w:rPr>
      </w:pPr>
      <w:r>
        <w:rPr>
          <w:rFonts w:eastAsia="Arial" w:cs="Arial" w:ascii="Arial" w:hAnsi="Arial"/>
          <w:b/>
          <w:bCs/>
          <w:sz w:val="44"/>
          <w:szCs w:val="44"/>
        </w:rPr>
      </w:r>
    </w:p>
    <w:p>
      <w:pPr>
        <w:pStyle w:val="normal1"/>
        <w:keepNext w:val="true"/>
        <w:keepLines w:val="false"/>
        <w:pageBreakBefore w:val="false"/>
        <w:widowControl/>
        <w:shd w:val="clear" w:fill="auto"/>
        <w:spacing w:lineRule="auto" w:line="360" w:before="0" w:after="0"/>
        <w:ind w:hanging="864" w:start="864" w:end="0"/>
        <w:jc w:val="center"/>
        <w:rPr>
          <w:rFonts w:ascii="Arial" w:hAnsi="Arial" w:eastAsia="Arial" w:cs="Arial"/>
          <w:b/>
          <w:bCs/>
          <w:sz w:val="44"/>
          <w:szCs w:val="44"/>
        </w:rPr>
      </w:pPr>
      <w:r>
        <w:rPr>
          <w:rFonts w:eastAsia="Arial" w:cs="Arial" w:ascii="Arial" w:hAnsi="Arial"/>
          <w:b/>
          <w:bCs/>
          <w:sz w:val="44"/>
          <w:szCs w:val="44"/>
        </w:rPr>
      </w:r>
    </w:p>
    <w:p>
      <w:pPr>
        <w:pStyle w:val="normal1"/>
        <w:widowControl/>
        <w:shd w:val="clear" w:fill="auto"/>
        <w:spacing w:lineRule="auto" w:line="360" w:before="0" w:after="0"/>
        <w:ind w:hanging="864" w:start="864" w:end="0"/>
        <w:jc w:val="center"/>
        <w:rPr>
          <w:rFonts w:ascii="Arial" w:hAnsi="Arial" w:eastAsia="Arial" w:cs="Arial"/>
          <w:b/>
          <w:bCs/>
          <w:sz w:val="44"/>
          <w:szCs w:val="44"/>
        </w:rPr>
      </w:pPr>
      <w:r>
        <w:rPr>
          <w:rFonts w:eastAsia="Arial" w:cs="Arial" w:ascii="Arial" w:hAnsi="Arial"/>
          <w:b/>
          <w:bCs/>
          <w:sz w:val="44"/>
          <w:szCs w:val="44"/>
        </w:rPr>
      </w:r>
    </w:p>
    <w:p>
      <w:pPr>
        <w:pStyle w:val="normal1"/>
        <w:widowControl/>
        <w:shd w:val="clear" w:fill="auto"/>
        <w:spacing w:lineRule="auto" w:line="360" w:before="0" w:after="0"/>
        <w:ind w:hanging="864" w:start="864" w:end="0"/>
        <w:jc w:val="center"/>
        <w:rPr>
          <w:rFonts w:ascii="Arial" w:hAnsi="Arial" w:eastAsia="Arial" w:cs="Arial"/>
          <w:b/>
          <w:bCs/>
          <w:sz w:val="44"/>
          <w:szCs w:val="44"/>
        </w:rPr>
      </w:pPr>
      <w:r>
        <w:rPr>
          <w:rFonts w:eastAsia="Arial" w:cs="Arial" w:ascii="Arial" w:hAnsi="Arial"/>
          <w:b/>
          <w:bCs/>
          <w:sz w:val="44"/>
          <w:szCs w:val="44"/>
        </w:rPr>
      </w:r>
    </w:p>
    <w:p>
      <w:pPr>
        <w:pStyle w:val="normal1"/>
        <w:widowControl/>
        <w:shd w:val="clear" w:fill="auto"/>
        <w:spacing w:lineRule="auto" w:line="360" w:before="0" w:after="0"/>
        <w:ind w:hanging="864" w:start="864" w:end="0"/>
        <w:jc w:val="center"/>
        <w:rPr>
          <w:rFonts w:ascii="Arial" w:hAnsi="Arial" w:eastAsia="Arial" w:cs="Arial"/>
          <w:b/>
          <w:bCs/>
          <w:sz w:val="44"/>
          <w:szCs w:val="44"/>
        </w:rPr>
      </w:pPr>
      <w:r>
        <w:rPr>
          <w:rFonts w:eastAsia="Arial" w:cs="Arial" w:ascii="Arial" w:hAnsi="Arial"/>
          <w:b/>
          <w:bCs/>
          <w:sz w:val="44"/>
          <w:szCs w:val="44"/>
        </w:rPr>
      </w:r>
    </w:p>
    <w:p>
      <w:pPr>
        <w:pStyle w:val="normal1"/>
        <w:spacing w:lineRule="auto" w:line="360"/>
        <w:ind w:hanging="0" w:start="283" w:end="282"/>
        <w:jc w:val="both"/>
        <w:rPr>
          <w:rFonts w:ascii="Arial" w:hAnsi="Arial" w:eastAsia="Arial" w:cs="Arial"/>
          <w:b/>
          <w:bCs/>
        </w:rPr>
      </w:pPr>
      <w:r>
        <w:rPr>
          <w:rFonts w:eastAsia="Arial" w:cs="Arial" w:ascii="Arial" w:hAnsi="Arial"/>
          <w:b/>
          <w:bCs/>
        </w:rPr>
      </w:r>
    </w:p>
    <w:p>
      <w:pPr>
        <w:pStyle w:val="normal1"/>
        <w:spacing w:lineRule="auto" w:line="360"/>
        <w:ind w:hanging="0" w:start="283" w:end="282"/>
        <w:jc w:val="center"/>
        <w:rPr>
          <w:rFonts w:ascii="Arial" w:hAnsi="Arial" w:eastAsia="Arial" w:cs="Arial"/>
          <w:b/>
          <w:bCs/>
        </w:rPr>
      </w:pPr>
      <w:r>
        <w:rPr>
          <w:rFonts w:eastAsia="Arial" w:cs="Arial" w:ascii="Arial" w:hAnsi="Arial"/>
          <w:b/>
          <w:bCs/>
        </w:rPr>
        <w:t>CONCORRÊNCIA Nº 90248/SMLCP/SULIC/2026</w:t>
      </w:r>
    </w:p>
    <w:p>
      <w:pPr>
        <w:pStyle w:val="normal1"/>
        <w:spacing w:lineRule="auto" w:line="360"/>
        <w:ind w:hanging="0" w:start="283" w:end="282"/>
        <w:jc w:val="center"/>
        <w:rPr>
          <w:rFonts w:ascii="Arial" w:hAnsi="Arial" w:eastAsia="Arial" w:cs="Arial"/>
          <w:b/>
          <w:bCs/>
        </w:rPr>
      </w:pPr>
      <w:r>
        <w:rPr>
          <w:rFonts w:eastAsia="Arial" w:cs="Arial" w:ascii="Arial" w:hAnsi="Arial"/>
          <w:b/>
          <w:bCs/>
        </w:rPr>
        <w:t>INSTRUÇÕES AOS PROPONENTES</w:t>
      </w:r>
    </w:p>
    <w:p>
      <w:pPr>
        <w:pStyle w:val="normal1"/>
        <w:spacing w:lineRule="auto" w:line="360"/>
        <w:ind w:hanging="0" w:start="283" w:end="282"/>
        <w:jc w:val="both"/>
        <w:rPr>
          <w:rFonts w:ascii="Arial" w:hAnsi="Arial" w:eastAsia="Arial" w:cs="Arial"/>
          <w:b/>
          <w:bCs/>
        </w:rPr>
      </w:pPr>
      <w:r>
        <w:rPr>
          <w:rFonts w:eastAsia="Arial" w:cs="Arial" w:ascii="Arial" w:hAnsi="Arial"/>
          <w:b/>
          <w:bCs/>
        </w:rPr>
      </w:r>
    </w:p>
    <w:p>
      <w:pPr>
        <w:pStyle w:val="normal1"/>
        <w:spacing w:lineRule="auto" w:line="360"/>
        <w:ind w:hanging="0" w:start="283" w:end="282"/>
        <w:jc w:val="both"/>
        <w:rPr>
          <w:rFonts w:ascii="Arial" w:hAnsi="Arial" w:eastAsia="Arial" w:cs="Arial"/>
          <w:b/>
          <w:bCs/>
        </w:rPr>
      </w:pPr>
      <w:r>
        <w:rPr>
          <w:rFonts w:eastAsia="Arial" w:cs="Arial" w:ascii="Arial" w:hAnsi="Arial"/>
          <w:b/>
          <w:bCs/>
        </w:rPr>
        <w:t xml:space="preserve">TENDO EM VISTA A LIMITAÇÃO DE UPLOAD DE ARQUIVOS AO compras.gov, OS ANEXOS AO PROCESSO LICITATÓRIO ESTÃO DISPONIVEIS NO PORTAL DA TRANSPARENCIA DO MUNICIPIO: </w:t>
      </w:r>
      <w:r>
        <w:fldChar w:fldCharType="begin"/>
      </w:r>
      <w:r>
        <w:rPr>
          <w:rStyle w:val="Style3"/>
          <w:rFonts w:eastAsia="Arial" w:cs="Arial" w:ascii="Arial" w:hAnsi="Arial"/>
          <w:b/>
          <w:bCs/>
          <w:color w:val="1155CC"/>
          <w:u w:val="single"/>
        </w:rPr>
        <w:instrText xml:space="preserve"> HYPERLINK "https://transparencia.e-publica.net/epublica-portal/" \l "/florianopolis/portal/compras/licitacaoTable?entidade=2002"</w:instrText>
      </w:r>
      <w:r>
        <w:rPr>
          <w:rStyle w:val="Style3"/>
          <w:rFonts w:eastAsia="Arial" w:cs="Arial" w:ascii="Arial" w:hAnsi="Arial"/>
          <w:b/>
          <w:bCs/>
          <w:color w:val="1155CC"/>
          <w:u w:val="single"/>
        </w:rPr>
        <w:fldChar w:fldCharType="separate"/>
      </w:r>
      <w:r>
        <w:rPr>
          <w:rStyle w:val="Style3"/>
          <w:rFonts w:eastAsia="Arial" w:cs="Arial" w:ascii="Arial" w:hAnsi="Arial"/>
          <w:b/>
          <w:bCs/>
          <w:color w:val="1155CC"/>
          <w:u w:val="single"/>
        </w:rPr>
        <w:t>https://transparencia.e-publica.net/epublica-portal/#/florianopolis/portal/compras/licitacaoTable?entidade=2002</w:t>
      </w:r>
      <w:r>
        <w:rPr>
          <w:rStyle w:val="Style3"/>
          <w:rFonts w:eastAsia="Arial" w:cs="Arial" w:ascii="Arial" w:hAnsi="Arial"/>
          <w:b/>
          <w:bCs/>
          <w:color w:val="1155CC"/>
          <w:u w:val="single"/>
        </w:rPr>
        <w:fldChar w:fldCharType="end"/>
      </w:r>
    </w:p>
    <w:p>
      <w:pPr>
        <w:pStyle w:val="normal1"/>
        <w:spacing w:lineRule="auto" w:line="36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spacing w:lineRule="auto" w:line="360" w:before="0" w:after="0"/>
        <w:ind w:hanging="0" w:start="232" w:end="241"/>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Município de Florianópolis, por intermédio da Secretaria Municipal de Licitações, Contratos e Parcerias, Superintendência de Licitações e Contratos, com sede na Rua Conselheiro Mafra, nº 656, Edifício Aldo Beck, Centro – Florianópolis – SC, torna público que fará realizar licitação na modalidade </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CONCORRÊNCIA,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cujo critério de julgamento será </w:t>
      </w:r>
      <w:r>
        <w:rPr>
          <w:rFonts w:eastAsia="Arial" w:cs="Arial" w:ascii="Arial" w:hAnsi="Arial"/>
          <w:b/>
          <w:bCs/>
          <w:i w:val="false"/>
          <w:iCs w:val="false"/>
          <w:caps w:val="false"/>
          <w:smallCaps w:val="false"/>
          <w:strike w:val="false"/>
          <w:dstrike w:val="false"/>
          <w:color w:val="000000"/>
          <w:position w:val="0"/>
          <w:sz w:val="22"/>
          <w:u w:val="none"/>
          <w:vertAlign w:val="baseline"/>
        </w:rPr>
        <w:t>MENOR PREÇO GLOBAL</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bCs/>
          <w:i w:val="false"/>
          <w:iCs w:val="false"/>
          <w:caps w:val="false"/>
          <w:smallCaps w:val="false"/>
          <w:strike w:val="false"/>
          <w:dstrike w:val="false"/>
          <w:color w:val="000000"/>
          <w:position w:val="0"/>
          <w:sz w:val="22"/>
          <w:u w:val="none"/>
          <w:vertAlign w:val="baseline"/>
        </w:rPr>
        <w:t>com modo de disputa ABERTO</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visando a </w:t>
      </w:r>
      <w:r>
        <w:rPr>
          <w:rFonts w:eastAsia="Arial" w:cs="Arial" w:ascii="Arial" w:hAnsi="Arial"/>
          <w:b/>
          <w:bCs/>
        </w:rPr>
        <w:t>Contratação de empresa especializada para execução de serviços de execução de drenagem e pavimentação com lajotas novas e usadas para conservação do sistema viário de Florianópolis</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conforme especificações deste edital e seus anexos, a ser regida pela Lei Federal 14.133, de 1º de abril de 2021, Lei Complementar nº 123, de 14 de dezembro de 2006, Instrução Normativa SEGES/ME n° 73, de 30 de setembro de 2022, Instrução Normativa SEGES/ME nº 03, de 26 de abril de 2018, Decreto Municipal n. 24.954, de 1º de março de 2023 e demais normas legais federais, estaduais e municipais vigentes.</w:t>
      </w:r>
    </w:p>
    <w:p>
      <w:pPr>
        <w:pStyle w:val="normal1"/>
        <w:keepNext w:val="false"/>
        <w:keepLines w:val="false"/>
        <w:pageBreakBefore w:val="false"/>
        <w:widowControl w:val="false"/>
        <w:shd w:val="clear" w:fill="auto"/>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shd w:val="clear" w:fill="auto"/>
        <w:spacing w:lineRule="auto" w:line="360" w:before="0" w:after="0"/>
        <w:ind w:hanging="0" w:start="232" w:end="2324"/>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Os documentos relacionados a seguir fazem parte integrante desta </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Concorrência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p>
    <w:p>
      <w:pPr>
        <w:pStyle w:val="normal1"/>
        <w:keepNext w:val="false"/>
        <w:keepLines w:val="false"/>
        <w:pageBreakBefore w:val="false"/>
        <w:widowControl w:val="false"/>
        <w:shd w:val="clear" w:fill="auto"/>
        <w:spacing w:lineRule="auto" w:line="360" w:before="0" w:after="0"/>
        <w:ind w:hanging="0" w:start="232" w:end="2324"/>
        <w:jc w:val="both"/>
        <w:rPr>
          <w:rFonts w:ascii="Arial" w:hAnsi="Arial" w:eastAsia="Arial" w:cs="Arial"/>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Anexo I - </w:t>
      </w:r>
      <w:r>
        <w:rPr>
          <w:rFonts w:eastAsia="Arial" w:cs="Arial" w:ascii="Arial" w:hAnsi="Arial"/>
        </w:rPr>
        <w:t>Termo de Referência</w:t>
      </w:r>
    </w:p>
    <w:p>
      <w:pPr>
        <w:pStyle w:val="normal1"/>
        <w:keepNext w:val="false"/>
        <w:keepLines w:val="false"/>
        <w:pageBreakBefore w:val="false"/>
        <w:widowControl w:val="false"/>
        <w:shd w:val="clear" w:fill="auto"/>
        <w:spacing w:lineRule="auto" w:line="360" w:before="0" w:after="0"/>
        <w:ind w:hanging="0" w:start="232" w:end="2324"/>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Anexo II - Minuta do Contrato; e </w:t>
      </w:r>
    </w:p>
    <w:p>
      <w:pPr>
        <w:pStyle w:val="normal1"/>
        <w:keepNext w:val="false"/>
        <w:keepLines w:val="false"/>
        <w:pageBreakBefore w:val="false"/>
        <w:widowControl w:val="false"/>
        <w:shd w:val="clear" w:fill="auto"/>
        <w:spacing w:lineRule="auto" w:line="360" w:before="0" w:after="0"/>
        <w:ind w:hanging="0" w:start="232" w:end="2324"/>
        <w:jc w:val="both"/>
        <w:rPr>
          <w:rFonts w:ascii="Arial" w:hAnsi="Arial" w:eastAsia="Arial" w:cs="Arial"/>
          <w:b w:val="false"/>
          <w:bCs w:val="false"/>
          <w:i w:val="false"/>
          <w:iCs w:val="false"/>
          <w:caps w:val="false"/>
          <w:smallCaps w:val="false"/>
          <w:strike/>
          <w:color w:val="000000"/>
          <w:position w:val="0"/>
          <w:sz w:val="22"/>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Anexo III - Contendo:</w:t>
      </w:r>
    </w:p>
    <w:p>
      <w:pPr>
        <w:pStyle w:val="normal1"/>
        <w:keepNext w:val="false"/>
        <w:keepLines w:val="false"/>
        <w:pageBreakBefore w:val="false"/>
        <w:widowControl w:val="false"/>
        <w:numPr>
          <w:ilvl w:val="0"/>
          <w:numId w:val="26"/>
        </w:numPr>
        <w:shd w:val="clear" w:fill="auto"/>
        <w:tabs>
          <w:tab w:val="clear" w:pos="720"/>
          <w:tab w:val="left" w:pos="970" w:leader="none"/>
        </w:tabs>
        <w:spacing w:lineRule="auto" w:line="360" w:before="0" w:after="0"/>
        <w:ind w:hanging="247" w:start="969" w:end="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Planilha Orçamentária Sintética e Demonstração de BDI;</w:t>
      </w:r>
    </w:p>
    <w:p>
      <w:pPr>
        <w:pStyle w:val="normal1"/>
        <w:keepNext w:val="false"/>
        <w:keepLines w:val="false"/>
        <w:pageBreakBefore w:val="false"/>
        <w:widowControl w:val="false"/>
        <w:numPr>
          <w:ilvl w:val="0"/>
          <w:numId w:val="26"/>
        </w:numPr>
        <w:shd w:val="clear" w:fill="auto"/>
        <w:tabs>
          <w:tab w:val="clear" w:pos="720"/>
          <w:tab w:val="left" w:pos="970" w:leader="none"/>
        </w:tabs>
        <w:spacing w:lineRule="auto" w:line="360" w:before="0" w:after="0"/>
        <w:ind w:hanging="247" w:start="969" w:end="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Cronograma Físico-Financeiro.</w:t>
      </w:r>
    </w:p>
    <w:p>
      <w:pPr>
        <w:pStyle w:val="normal1"/>
        <w:keepNext w:val="false"/>
        <w:keepLines w:val="false"/>
        <w:pageBreakBefore w:val="false"/>
        <w:widowControl w:val="false"/>
        <w:shd w:val="clear" w:fill="auto"/>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LICITAÇÃO</w:t>
      </w:r>
    </w:p>
    <w:p>
      <w:pPr>
        <w:pStyle w:val="normal1"/>
        <w:keepNext w:val="false"/>
        <w:keepLines w:val="false"/>
        <w:pageBreakBefore w:val="false"/>
        <w:widowControl w:val="false"/>
        <w:numPr>
          <w:ilvl w:val="2"/>
          <w:numId w:val="25"/>
        </w:numPr>
        <w:shd w:val="clear" w:fill="auto"/>
        <w:tabs>
          <w:tab w:val="clear" w:pos="720"/>
          <w:tab w:val="left" w:pos="601" w:leader="none"/>
        </w:tabs>
        <w:spacing w:lineRule="auto" w:line="360" w:before="0" w:after="0"/>
        <w:ind w:hanging="0" w:start="0" w:end="241"/>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1.1. Do Objeto da Concorrência: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A presente licitação tem como objeto a </w:t>
      </w:r>
      <w:r>
        <w:rPr>
          <w:rFonts w:eastAsia="Arial" w:cs="Arial" w:ascii="Arial" w:hAnsi="Arial"/>
          <w:b/>
          <w:bCs/>
        </w:rPr>
        <w:t>Contratação de empresa especializada para execução de serviços de execução de drenagem e pavimentação com lajotas novas e usadas para conservação do sistema viário de Florianópolis</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de acordo com as condições estabelecidas no Anexo III, e nas condições previstas neste Edital.</w:t>
      </w:r>
    </w:p>
    <w:p>
      <w:pPr>
        <w:pStyle w:val="normal1"/>
        <w:keepNext w:val="false"/>
        <w:keepLines w:val="false"/>
        <w:pageBreakBefore w:val="false"/>
        <w:widowControl w:val="false"/>
        <w:numPr>
          <w:ilvl w:val="2"/>
          <w:numId w:val="25"/>
        </w:numPr>
        <w:shd w:val="clear" w:fill="auto"/>
        <w:tabs>
          <w:tab w:val="clear" w:pos="720"/>
          <w:tab w:val="left" w:pos="786" w:leader="none"/>
        </w:tabs>
        <w:spacing w:lineRule="auto" w:line="360" w:before="0" w:after="0"/>
        <w:ind w:hanging="0" w:start="0" w:end="241"/>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1.2.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valor máximo admitido para a contratação é de </w:t>
      </w:r>
      <w:r>
        <w:rPr>
          <w:rFonts w:eastAsia="Arial" w:cs="Arial" w:ascii="Arial" w:hAnsi="Arial"/>
          <w:b/>
          <w:bCs/>
        </w:rPr>
        <w:t>R$5.999.939,53 (cinco milhões novecentos e noventa e nove mil novecentos e trinta e nove reais e cinquenta e três centavos)</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conforme disposto no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Anexo I d</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este Edital.</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1.3. Local: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Portal de Compras do Governo Federal - </w:t>
      </w:r>
      <w:hyperlink r:id="rId2">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www.gov.br/compras/pt-br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UASG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988105</w:t>
      </w:r>
    </w:p>
    <w:p>
      <w:pPr>
        <w:pStyle w:val="normal1"/>
        <w:keepNext w:val="false"/>
        <w:keepLines w:val="false"/>
        <w:pageBreakBefore w:val="false"/>
        <w:widowControl w:val="false"/>
        <w:numPr>
          <w:ilvl w:val="1"/>
          <w:numId w:val="25"/>
        </w:numPr>
        <w:shd w:val="clear" w:fill="auto"/>
        <w:tabs>
          <w:tab w:val="clear" w:pos="720"/>
          <w:tab w:val="left" w:pos="609" w:leader="none"/>
        </w:tabs>
        <w:spacing w:lineRule="auto" w:line="360" w:before="0" w:after="0"/>
        <w:ind w:hanging="0" w:start="0" w:end="245"/>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1.4. Referência de Tempo: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Todas as referências de tempo no Edital, no Aviso e durante a Sessão Pública observarão obrigatoriamente o horário de Brasília - DF e, dessa forma, serão registradas no sistema eletrônico e na documentação relativa ao certame.</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1.5. Data e horário para início da entrega de propostas: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0</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9</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/07/202</w:t>
      </w:r>
      <w:r>
        <w:rPr>
          <w:rFonts w:eastAsia="Arial" w:cs="Arial" w:ascii="Arial" w:hAnsi="Arial"/>
        </w:rPr>
        <w:t>6</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às 8h.</w:t>
      </w:r>
    </w:p>
    <w:p>
      <w:pPr>
        <w:pStyle w:val="normal1"/>
        <w:keepNext w:val="false"/>
        <w:keepLines w:val="false"/>
        <w:pageBreakBefore w:val="false"/>
        <w:widowControl w:val="false"/>
        <w:numPr>
          <w:ilvl w:val="1"/>
          <w:numId w:val="25"/>
        </w:numPr>
        <w:shd w:val="clear" w:fill="auto"/>
        <w:tabs>
          <w:tab w:val="clear" w:pos="720"/>
          <w:tab w:val="left" w:pos="615" w:leader="none"/>
        </w:tabs>
        <w:bidi w:val="0"/>
        <w:spacing w:lineRule="auto" w:line="360" w:before="0" w:after="0"/>
        <w:ind w:hanging="0" w:start="0" w:end="241"/>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1.6. Data e horário limites para entrega de propostas e início da sessão pública: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1</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2</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/08/202</w:t>
      </w:r>
      <w:r>
        <w:rPr>
          <w:rFonts w:eastAsia="Arial" w:cs="Arial" w:ascii="Arial" w:hAnsi="Arial"/>
        </w:rPr>
        <w:t>6</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até às 14h.</w:t>
      </w:r>
    </w:p>
    <w:p>
      <w:pPr>
        <w:pStyle w:val="normal1"/>
        <w:keepNext w:val="false"/>
        <w:keepLines w:val="false"/>
        <w:pageBreakBefore w:val="false"/>
        <w:widowControl w:val="false"/>
        <w:numPr>
          <w:ilvl w:val="1"/>
          <w:numId w:val="25"/>
        </w:numPr>
        <w:shd w:val="clear" w:fill="auto"/>
        <w:tabs>
          <w:tab w:val="clear" w:pos="720"/>
          <w:tab w:val="left" w:pos="663" w:leader="none"/>
        </w:tabs>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1.7. Modo de disputa: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Aberto, nos termos do art. 56, inciso I da Lei Federal 14.133/21 e art. 22 da Instrução Normativa </w:t>
      </w:r>
      <w:hyperlink r:id="rId3">
        <w:r>
          <w:rPr>
            <w:rStyle w:val="Style3"/>
            <w:rFonts w:eastAsia="Arial" w:cs="Arial" w:ascii="Arial" w:hAnsi="Arial"/>
            <w:b w:val="false"/>
            <w:bCs w:val="false"/>
            <w:i w:val="false"/>
            <w:iCs w:val="false"/>
            <w:caps w:val="false"/>
            <w:smallCaps w:val="false"/>
            <w:strike w:val="false"/>
            <w:dstrike w:val="false"/>
            <w:color w:val="000000"/>
            <w:position w:val="0"/>
            <w:sz w:val="22"/>
            <w:u w:val="single"/>
            <w:vertAlign w:val="baseline"/>
          </w:rPr>
          <w:t>SEGES/ME nº 73, de 2022.</w:t>
        </w:r>
      </w:hyperlink>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1.8. Término da Sessão Principal: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10 (dez) minutos após o início da sessão de disputa.</w:t>
      </w:r>
    </w:p>
    <w:p>
      <w:pPr>
        <w:pStyle w:val="normal1"/>
        <w:keepNext w:val="false"/>
        <w:keepLines w:val="false"/>
        <w:pageBreakBefore w:val="false"/>
        <w:widowControl w:val="false"/>
        <w:numPr>
          <w:ilvl w:val="1"/>
          <w:numId w:val="25"/>
        </w:numPr>
        <w:shd w:val="clear" w:fill="auto"/>
        <w:tabs>
          <w:tab w:val="clear" w:pos="720"/>
          <w:tab w:val="left" w:pos="675" w:leader="none"/>
        </w:tabs>
        <w:spacing w:lineRule="auto" w:line="360" w:before="0" w:after="0"/>
        <w:ind w:hanging="0" w:start="0" w:end="26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1.9. Da Execução da Licitação: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A Secretaria Municipal de Licitações, Contratos e Parcerias, na qualidade de interveniente Promotora, processará a presente licitação, destinando-se o seu objeto a </w:t>
      </w:r>
      <w:r>
        <w:rPr>
          <w:rFonts w:eastAsia="Arial" w:cs="Arial" w:ascii="Arial" w:hAnsi="Arial"/>
          <w:b/>
          <w:bCs/>
        </w:rPr>
        <w:t>Secretaria Municipal de Planejamento, Habitação e Desenvolvimento Urbano</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w:t>
      </w:r>
    </w:p>
    <w:p>
      <w:pPr>
        <w:pStyle w:val="normal1"/>
        <w:keepNext w:val="false"/>
        <w:keepLines w:val="false"/>
        <w:pageBreakBefore w:val="false"/>
        <w:widowControl w:val="false"/>
        <w:numPr>
          <w:ilvl w:val="1"/>
          <w:numId w:val="25"/>
        </w:numPr>
        <w:shd w:val="clear" w:fill="auto"/>
        <w:tabs>
          <w:tab w:val="clear" w:pos="720"/>
          <w:tab w:val="left" w:pos="601" w:leader="none"/>
          <w:tab w:val="left" w:pos="6379" w:leader="none"/>
        </w:tabs>
        <w:spacing w:lineRule="auto" w:line="360" w:before="0" w:after="0"/>
        <w:ind w:hanging="0" w:start="0" w:end="245"/>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1.10.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Edital e seus Anexos encontram-se disponíveis no endereço eletrônico identificado no subitem 1.3 e no portal eletrônico da Prefeitura Municipal de Florianópolis, na página </w:t>
      </w:r>
      <w:hyperlink r:id="rId4">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www.pmf.sc.gov.br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45"/>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1.11.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Em caso de discordância existente entre as quantidades e especificações do objeto descritas no endereço eletrônico </w:t>
      </w:r>
      <w:hyperlink r:id="rId5">
        <w:r>
          <w:rPr>
            <w:rStyle w:val="Style3"/>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www.gov.br/compras/pt-br, </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com as quantidades e especificações constantes deste Edital, prevalecerão as constantes do Edital.</w:t>
      </w:r>
    </w:p>
    <w:p>
      <w:pPr>
        <w:pStyle w:val="normal1"/>
        <w:keepNext w:val="false"/>
        <w:keepLines w:val="false"/>
        <w:pageBreakBefore w:val="false"/>
        <w:widowControl w:val="false"/>
        <w:shd w:val="clear" w:fill="auto"/>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DOS RECURSOS FINANCEIROS</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2.1.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As despesas provenientes do objeto desta licitação correrão pelas seguintes dotações orçamentárias: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Órgão: </w:t>
      </w:r>
      <w:r>
        <w:rPr>
          <w:rFonts w:eastAsia="Arial" w:cs="Arial" w:ascii="Arial" w:hAnsi="Arial"/>
          <w:b/>
          <w:bCs/>
        </w:rPr>
        <w:t>14000</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 </w:t>
      </w:r>
      <w:r>
        <w:rPr>
          <w:rFonts w:eastAsia="Arial" w:cs="Arial" w:ascii="Arial" w:hAnsi="Arial"/>
          <w:b/>
          <w:bCs/>
        </w:rPr>
        <w:t>Secretaria Municipal de Planejamento, Habitação e Desenvolvimento Urbano</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Funcional: </w:t>
      </w:r>
      <w:r>
        <w:rPr>
          <w:rFonts w:eastAsia="Arial" w:cs="Arial" w:ascii="Arial" w:hAnsi="Arial"/>
          <w:b/>
          <w:bCs/>
        </w:rPr>
        <w:t>15.451.104</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Projeto/Atividade: </w:t>
      </w:r>
      <w:r>
        <w:rPr>
          <w:rFonts w:eastAsia="Arial" w:cs="Arial" w:ascii="Arial" w:hAnsi="Arial"/>
          <w:b/>
          <w:bCs/>
        </w:rPr>
        <w:t>2157</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Elemento de despesa: </w:t>
      </w:r>
      <w:r>
        <w:rPr>
          <w:rFonts w:eastAsia="Arial" w:cs="Arial" w:ascii="Arial" w:hAnsi="Arial"/>
          <w:b/>
          <w:bCs/>
        </w:rPr>
        <w:t>4.4.90</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Fonte de Recurso: </w:t>
      </w:r>
      <w:r>
        <w:rPr>
          <w:rFonts w:eastAsia="Arial" w:cs="Arial" w:ascii="Arial" w:hAnsi="Arial"/>
          <w:b/>
          <w:bCs/>
        </w:rPr>
        <w:t>6423</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Código reduzido: </w:t>
      </w:r>
      <w:r>
        <w:rPr>
          <w:rFonts w:eastAsia="Arial" w:cs="Arial" w:ascii="Arial" w:hAnsi="Arial"/>
          <w:b/>
          <w:bCs/>
        </w:rPr>
        <w:t>1452</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DAS CONDIÇÕES DE PARTICIPAÇÃO</w:t>
      </w:r>
    </w:p>
    <w:p>
      <w:pPr>
        <w:pStyle w:val="normal1"/>
        <w:spacing w:lineRule="auto" w:line="360"/>
        <w:ind w:hanging="0" w:start="0" w:end="250"/>
        <w:jc w:val="both"/>
        <w:rPr>
          <w:rFonts w:ascii="Arial" w:hAnsi="Arial" w:eastAsia="Arial" w:cs="Arial"/>
        </w:rPr>
      </w:pPr>
      <w:r>
        <w:rPr>
          <w:rFonts w:eastAsia="Arial" w:cs="Arial" w:ascii="Arial" w:hAnsi="Arial"/>
          <w:b/>
          <w:bCs/>
        </w:rPr>
        <w:t xml:space="preserve">3.1. </w:t>
      </w:r>
      <w:r>
        <w:rPr>
          <w:rFonts w:eastAsia="Arial" w:cs="Arial" w:ascii="Arial" w:hAnsi="Arial"/>
        </w:rPr>
        <w:t>Poderão participar desta licitação todas as empresas que atuem no ramo de atividade objeto deste edital, e que atendam todas as condições exigidas no presente instrumento e seus respectivos anexos.</w:t>
      </w:r>
    </w:p>
    <w:p>
      <w:pPr>
        <w:pStyle w:val="normal1"/>
        <w:spacing w:lineRule="auto" w:line="360"/>
        <w:ind w:hanging="0" w:start="0" w:end="250"/>
        <w:jc w:val="both"/>
        <w:rPr>
          <w:rFonts w:ascii="Arial" w:hAnsi="Arial" w:eastAsia="Arial" w:cs="Arial"/>
        </w:rPr>
      </w:pPr>
      <w:r>
        <w:rPr>
          <w:rFonts w:eastAsia="Arial" w:cs="Arial" w:ascii="Arial" w:hAnsi="Arial"/>
          <w:b/>
          <w:bCs/>
        </w:rPr>
        <w:t>3.2. Não será admitida a participação de</w:t>
      </w:r>
      <w:r>
        <w:rPr>
          <w:rFonts w:eastAsia="Arial" w:cs="Arial" w:ascii="Arial" w:hAnsi="Arial"/>
        </w:rPr>
        <w:t>:</w:t>
      </w:r>
    </w:p>
    <w:p>
      <w:pPr>
        <w:pStyle w:val="normal1"/>
        <w:tabs>
          <w:tab w:val="clear" w:pos="720"/>
          <w:tab w:val="left" w:pos="1260" w:leader="none"/>
        </w:tabs>
        <w:spacing w:lineRule="auto" w:line="360"/>
        <w:ind w:hanging="0" w:start="0" w:end="250"/>
        <w:jc w:val="both"/>
        <w:rPr>
          <w:rFonts w:ascii="Arial" w:hAnsi="Arial" w:eastAsia="Arial" w:cs="Arial"/>
          <w:highlight w:val="yellow"/>
        </w:rPr>
      </w:pPr>
      <w:r>
        <w:rPr>
          <w:rFonts w:eastAsia="Arial" w:cs="Arial" w:ascii="Arial" w:hAnsi="Arial"/>
          <w:b/>
          <w:bCs/>
        </w:rPr>
        <w:t>3.2.1.</w:t>
      </w:r>
      <w:r>
        <w:rPr>
          <w:rFonts w:eastAsia="Arial" w:cs="Arial" w:ascii="Arial" w:hAnsi="Arial"/>
        </w:rPr>
        <w:t xml:space="preserve"> Empresas declaradas inidôneas por ato do poder público, empresas que estejam temporariamente impedidas de licitar, contratar e transacionar com a Administração Pública ou quaisquer de seus órgãos descentralizados;</w:t>
      </w:r>
    </w:p>
    <w:p>
      <w:pPr>
        <w:pStyle w:val="normal1"/>
        <w:tabs>
          <w:tab w:val="clear" w:pos="720"/>
          <w:tab w:val="left" w:pos="1260" w:leader="none"/>
        </w:tabs>
        <w:spacing w:lineRule="auto" w:line="360"/>
        <w:ind w:hanging="0" w:start="0" w:end="250"/>
        <w:jc w:val="both"/>
        <w:rPr>
          <w:rFonts w:ascii="Arial" w:hAnsi="Arial" w:eastAsia="Arial" w:cs="Arial"/>
        </w:rPr>
      </w:pPr>
      <w:r>
        <w:rPr>
          <w:rFonts w:eastAsia="Arial" w:cs="Arial" w:ascii="Arial" w:hAnsi="Arial"/>
          <w:b/>
          <w:bCs/>
        </w:rPr>
        <w:t>3.2.3.</w:t>
      </w:r>
      <w:r>
        <w:rPr>
          <w:rFonts w:eastAsia="Arial" w:cs="Arial" w:ascii="Arial" w:hAnsi="Arial"/>
        </w:rPr>
        <w:t xml:space="preserve"> Empresas de que sejam proprietários, controladores ou diretores, servidor público da ativa ou empregado de empresa pública ou sociedade de economia mista;</w:t>
      </w:r>
    </w:p>
    <w:p>
      <w:pPr>
        <w:pStyle w:val="normal1"/>
        <w:tabs>
          <w:tab w:val="clear" w:pos="720"/>
          <w:tab w:val="left" w:pos="1260" w:leader="none"/>
        </w:tabs>
        <w:spacing w:lineRule="auto" w:line="360"/>
        <w:ind w:hanging="0" w:start="0" w:end="250"/>
        <w:jc w:val="both"/>
        <w:rPr>
          <w:rFonts w:ascii="Arial" w:hAnsi="Arial" w:eastAsia="Arial" w:cs="Arial"/>
        </w:rPr>
      </w:pPr>
      <w:r>
        <w:rPr>
          <w:rFonts w:eastAsia="Arial" w:cs="Arial" w:ascii="Arial" w:hAnsi="Arial"/>
          <w:b/>
          <w:bCs/>
        </w:rPr>
        <w:t>3.2.4.</w:t>
      </w:r>
      <w:r>
        <w:rPr>
          <w:rFonts w:eastAsia="Arial" w:cs="Arial" w:ascii="Arial" w:hAnsi="Arial"/>
        </w:rPr>
        <w:t xml:space="preserve"> Empresas em processo falimentar;</w:t>
      </w:r>
    </w:p>
    <w:p>
      <w:pPr>
        <w:pStyle w:val="normal1"/>
        <w:tabs>
          <w:tab w:val="clear" w:pos="720"/>
          <w:tab w:val="left" w:pos="1260" w:leader="none"/>
        </w:tabs>
        <w:spacing w:lineRule="auto" w:line="360"/>
        <w:ind w:hanging="0" w:start="0" w:end="250"/>
        <w:jc w:val="both"/>
        <w:rPr>
          <w:rFonts w:ascii="Arial" w:hAnsi="Arial" w:eastAsia="Arial" w:cs="Arial"/>
        </w:rPr>
      </w:pPr>
      <w:r>
        <w:rPr>
          <w:rFonts w:eastAsia="Arial" w:cs="Arial" w:ascii="Arial" w:hAnsi="Arial"/>
          <w:b/>
          <w:bCs/>
        </w:rPr>
        <w:t>3.2.4.1.</w:t>
      </w:r>
      <w:r>
        <w:rPr>
          <w:rFonts w:eastAsia="Arial" w:cs="Arial" w:ascii="Arial" w:hAnsi="Arial"/>
        </w:rPr>
        <w:t xml:space="preserve"> As empresas em recuperação judicial, para a devida participação, deverão apresentar Certidão emitida pela instância judicial competente afirmando que a interessada está apta econômica e financeiramente a participar de procedimento licitatório, conforme Acórdão 1201/2020 – Plenário – Tribunal de Contas da União – TCU.</w:t>
      </w:r>
    </w:p>
    <w:p>
      <w:pPr>
        <w:pStyle w:val="normal1"/>
        <w:tabs>
          <w:tab w:val="clear" w:pos="720"/>
          <w:tab w:val="left" w:pos="1260" w:leader="none"/>
        </w:tabs>
        <w:spacing w:lineRule="auto" w:line="360"/>
        <w:ind w:hanging="0" w:start="0" w:end="250"/>
        <w:jc w:val="both"/>
        <w:rPr>
          <w:rFonts w:ascii="Arial" w:hAnsi="Arial" w:eastAsia="Arial" w:cs="Arial"/>
        </w:rPr>
      </w:pPr>
      <w:r>
        <w:rPr>
          <w:rFonts w:eastAsia="Arial" w:cs="Arial" w:ascii="Arial" w:hAnsi="Arial"/>
          <w:b/>
          <w:bCs/>
        </w:rPr>
        <w:t>3.2.5.</w:t>
      </w:r>
      <w:r>
        <w:rPr>
          <w:rFonts w:eastAsia="Arial" w:cs="Arial" w:ascii="Arial" w:hAnsi="Arial"/>
          <w:highlight w:val="white"/>
        </w:rPr>
        <w:t xml:space="preserve"> Empresas cujo objeto social não seja pertinente e compatível com o objeto da licitação.</w:t>
      </w:r>
    </w:p>
    <w:p>
      <w:pPr>
        <w:pStyle w:val="normal1"/>
        <w:tabs>
          <w:tab w:val="clear" w:pos="720"/>
          <w:tab w:val="left" w:pos="1260" w:leader="none"/>
        </w:tabs>
        <w:spacing w:lineRule="auto" w:line="360"/>
        <w:ind w:hanging="0" w:start="0" w:end="250"/>
        <w:jc w:val="both"/>
        <w:rPr>
          <w:rFonts w:ascii="Arial" w:hAnsi="Arial" w:eastAsia="Arial" w:cs="Arial"/>
        </w:rPr>
      </w:pPr>
      <w:r>
        <w:rPr>
          <w:rFonts w:eastAsia="Arial" w:cs="Arial" w:ascii="Arial" w:hAnsi="Arial"/>
          <w:b/>
          <w:bCs/>
        </w:rPr>
        <w:t>3.2.6.</w:t>
      </w:r>
      <w:r>
        <w:rPr>
          <w:rFonts w:eastAsia="Arial" w:cs="Arial" w:ascii="Arial" w:hAnsi="Arial"/>
        </w:rPr>
        <w:t xml:space="preserve"> Empresas proibidas de contratar com o Poder Público, nos termos do art. 72, § 8º, V da Lei nº 9.605/98;</w:t>
      </w:r>
    </w:p>
    <w:p>
      <w:pPr>
        <w:pStyle w:val="normal1"/>
        <w:spacing w:lineRule="auto" w:line="360"/>
        <w:ind w:hanging="0" w:start="0" w:end="250"/>
        <w:jc w:val="both"/>
        <w:rPr>
          <w:rFonts w:ascii="Arial" w:hAnsi="Arial" w:eastAsia="Arial" w:cs="Arial"/>
        </w:rPr>
      </w:pPr>
      <w:r>
        <w:rPr>
          <w:rFonts w:eastAsia="Arial" w:cs="Arial" w:ascii="Arial" w:hAnsi="Arial"/>
          <w:b/>
          <w:bCs/>
        </w:rPr>
        <w:t>3.2.7.</w:t>
      </w:r>
      <w:r>
        <w:rPr>
          <w:rFonts w:eastAsia="Arial" w:cs="Arial" w:ascii="Arial" w:hAnsi="Arial"/>
        </w:rPr>
        <w:t xml:space="preserve"> Empresas proibidas de contratar com o Poder Público nos termos do art. 12 da Lei nº 8.429/92;</w:t>
      </w:r>
    </w:p>
    <w:p>
      <w:pPr>
        <w:pStyle w:val="normal1"/>
        <w:spacing w:lineRule="auto" w:line="360"/>
        <w:ind w:hanging="0" w:start="0" w:end="250"/>
        <w:jc w:val="both"/>
        <w:rPr>
          <w:rFonts w:ascii="Arial" w:hAnsi="Arial" w:eastAsia="Arial" w:cs="Arial"/>
        </w:rPr>
      </w:pPr>
      <w:r>
        <w:rPr>
          <w:rFonts w:eastAsia="Arial" w:cs="Arial" w:ascii="Arial" w:hAnsi="Arial"/>
          <w:b/>
          <w:bCs/>
        </w:rPr>
        <w:t>3.3.</w:t>
      </w:r>
      <w:r>
        <w:rPr>
          <w:rFonts w:eastAsia="Arial" w:cs="Arial" w:ascii="Arial" w:hAnsi="Arial"/>
        </w:rPr>
        <w:t xml:space="preserve"> O descumprimento de qualquer condição de participação acarretará na inabilitação do licitante.</w:t>
      </w:r>
    </w:p>
    <w:p>
      <w:pPr>
        <w:pStyle w:val="normal1"/>
        <w:keepNext w:val="false"/>
        <w:keepLines w:val="false"/>
        <w:pageBreakBefore w:val="false"/>
        <w:widowControl w:val="false"/>
        <w:shd w:val="clear" w:fill="auto"/>
        <w:tabs>
          <w:tab w:val="clear" w:pos="720"/>
          <w:tab w:val="left" w:pos="829"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3.4.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participação na presente licitação implica na aceitação plena das condições expressas neste Edital e em seus anexos.</w:t>
      </w:r>
    </w:p>
    <w:p>
      <w:pPr>
        <w:pStyle w:val="normal1"/>
        <w:keepNext w:val="false"/>
        <w:keepLines w:val="false"/>
        <w:pageBreakBefore w:val="false"/>
        <w:widowControl w:val="false"/>
        <w:shd w:val="clear" w:fill="auto"/>
        <w:tabs>
          <w:tab w:val="clear" w:pos="720"/>
          <w:tab w:val="left" w:pos="829" w:leader="none"/>
        </w:tabs>
        <w:spacing w:lineRule="auto" w:line="360" w:before="0" w:after="0"/>
        <w:ind w:hanging="0" w:start="284"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 CREDENCIAMENTO NO SISTEMA ELETRÔNICO</w:t>
      </w:r>
    </w:p>
    <w:p>
      <w:pPr>
        <w:pStyle w:val="normal1"/>
        <w:keepNext w:val="false"/>
        <w:keepLines w:val="false"/>
        <w:pageBreakBefore w:val="false"/>
        <w:widowControl w:val="false"/>
        <w:numPr>
          <w:ilvl w:val="1"/>
          <w:numId w:val="25"/>
        </w:numPr>
        <w:shd w:val="clear" w:fill="auto"/>
        <w:tabs>
          <w:tab w:val="clear" w:pos="720"/>
          <w:tab w:val="left" w:pos="63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4.1.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credenciamento é o nível básico do registro cadastral no SICAF, que permite a participação dos interessados na modalidade licitatória </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Concorrência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em sua forma eletrônica, em conformidade com a Instrução Normativa </w:t>
      </w:r>
      <w:hyperlink r:id="rId6">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SEGES /ME nº 03. de 2018.</w:t>
        </w:r>
      </w:hyperlink>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4.2.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Para participação na Concorrência, o proponente deverá assinalar em campo próprio do sistema eletrônico, todas as declarações disponíveis, sendo facultada apenas a opção relativa aos requisitos de enquadramento na Lei Complementar nº 123/2006.</w:t>
      </w:r>
    </w:p>
    <w:p>
      <w:pPr>
        <w:pStyle w:val="normal1"/>
        <w:keepNext w:val="false"/>
        <w:keepLines w:val="false"/>
        <w:pageBreakBefore w:val="false"/>
        <w:widowControl w:val="false"/>
        <w:numPr>
          <w:ilvl w:val="2"/>
          <w:numId w:val="25"/>
        </w:numPr>
        <w:shd w:val="clear" w:fill="auto"/>
        <w:tabs>
          <w:tab w:val="clear" w:pos="720"/>
          <w:tab w:val="left" w:pos="8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4.3.</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declaração falsa relativa ao cumprimento de qualquer condição sujeitará o proponente às sanções previstas em lei e neste Edital.</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4.4.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Nenhuma pessoa, ainda que munida de procuração, poderá representar mais de uma empresa no mesmo item deste processo, sob pena de exclusão sumária de ambos os proponentes representados.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DA PARTICIPAÇÃO NO SISTEMA ELETRÔNICO</w:t>
      </w:r>
    </w:p>
    <w:p>
      <w:pPr>
        <w:pStyle w:val="normal1"/>
        <w:keepNext w:val="false"/>
        <w:keepLines w:val="false"/>
        <w:pageBreakBefore w:val="false"/>
        <w:widowControl w:val="false"/>
        <w:numPr>
          <w:ilvl w:val="1"/>
          <w:numId w:val="25"/>
        </w:numPr>
        <w:shd w:val="clear" w:fill="auto"/>
        <w:tabs>
          <w:tab w:val="clear" w:pos="720"/>
          <w:tab w:val="left" w:pos="669"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5.1.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participação no certame se dará por meio da digitação da senha pessoal e intransferível do representante credenciado, e subsequente encaminhamento da proposta de preços e dos documentos de habilitação, exclusivamente, por meio do sistema eletrônico através do site </w:t>
      </w:r>
      <w:hyperlink r:id="rId7">
        <w:r>
          <w:rPr>
            <w:rStyle w:val="Style3"/>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www.gov.br/compras/pt-br,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observando a data e o horário limite estabelecido no item 1 deste Edital.</w:t>
      </w:r>
    </w:p>
    <w:p>
      <w:pPr>
        <w:pStyle w:val="normal1"/>
        <w:keepNext w:val="false"/>
        <w:keepLines w:val="false"/>
        <w:pageBreakBefore w:val="false"/>
        <w:widowControl w:val="false"/>
        <w:numPr>
          <w:ilvl w:val="1"/>
          <w:numId w:val="25"/>
        </w:numPr>
        <w:shd w:val="clear" w:fill="auto"/>
        <w:tabs>
          <w:tab w:val="clear" w:pos="720"/>
          <w:tab w:val="left" w:pos="603"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5.2.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Poderão participar desta Concorrência proponente cujo ramo de atividade seja compatível com o objeto desta licitação, e que estejam com Credenciamento regular no Sistema de Cadastramento Unificado de Fornecedores – SICAF, conforme disposto no art. 9º da IN SEGES/MP nº 3, de 2018.</w:t>
      </w:r>
    </w:p>
    <w:p>
      <w:pPr>
        <w:pStyle w:val="normal1"/>
        <w:keepNext w:val="false"/>
        <w:keepLines w:val="false"/>
        <w:pageBreakBefore w:val="false"/>
        <w:widowControl w:val="false"/>
        <w:numPr>
          <w:ilvl w:val="1"/>
          <w:numId w:val="25"/>
        </w:numPr>
        <w:shd w:val="clear" w:fill="auto"/>
        <w:tabs>
          <w:tab w:val="clear" w:pos="720"/>
          <w:tab w:val="left" w:pos="63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5.3.</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Caberá ao proponente acompanhar as operações no sistema eletrônico durante a sessão pública da Concorrência, ficando responsável pelo ônus decorrente da perda de negócios diante da inobservância de quaisquer mensagens emitidas pelo sistema ou de sua desconexão.</w:t>
      </w:r>
    </w:p>
    <w:p>
      <w:pPr>
        <w:pStyle w:val="normal1"/>
        <w:keepNext w:val="false"/>
        <w:keepLines w:val="false"/>
        <w:pageBreakBefore w:val="false"/>
        <w:widowControl w:val="false"/>
        <w:numPr>
          <w:ilvl w:val="1"/>
          <w:numId w:val="25"/>
        </w:numPr>
        <w:shd w:val="clear" w:fill="auto"/>
        <w:tabs>
          <w:tab w:val="clear" w:pos="720"/>
          <w:tab w:val="left" w:pos="68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5.4.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No caso de desconexão com o Agente de Contratação no decorrer da etapa competitiva da Concorrência, o sistema eletrônico poderá permanecer acessível aos proponentes para a recepção dos lances, retornando ao Agente de Contratação, quando possível, sua atuação no certame, sem prejuízo dos atos realizados.</w:t>
      </w:r>
    </w:p>
    <w:p>
      <w:pPr>
        <w:pStyle w:val="normal1"/>
        <w:keepNext w:val="false"/>
        <w:keepLines w:val="false"/>
        <w:pageBreakBefore w:val="false"/>
        <w:widowControl w:val="false"/>
        <w:numPr>
          <w:ilvl w:val="1"/>
          <w:numId w:val="25"/>
        </w:numPr>
        <w:shd w:val="clear" w:fill="auto"/>
        <w:tabs>
          <w:tab w:val="clear" w:pos="720"/>
          <w:tab w:val="left" w:pos="61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5.5.</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Quando a desconexão persistir por tempo superior a 10 (dez) minutos, a sessão da Concorrência será suspensa e terá reinício somente decorridas 24 (vinte e quatro) horas após a comunicação do fato aos participantes, no sítio eletrônico utilizado para divulgação.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APRESENTAÇÃO DA PROPOSTA NO SISTEMA ELETRÔNICO</w:t>
      </w:r>
    </w:p>
    <w:p>
      <w:pPr>
        <w:pStyle w:val="normal1"/>
        <w:keepNext w:val="false"/>
        <w:keepLines w:val="false"/>
        <w:pageBreakBefore w:val="false"/>
        <w:widowControl w:val="false"/>
        <w:numPr>
          <w:ilvl w:val="1"/>
          <w:numId w:val="25"/>
        </w:numPr>
        <w:shd w:val="clear" w:fill="auto"/>
        <w:tabs>
          <w:tab w:val="clear" w:pos="720"/>
          <w:tab w:val="left" w:pos="672"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Os proponentes </w:t>
      </w:r>
      <w:r>
        <w:rPr>
          <w:rFonts w:eastAsia="Arial" w:cs="Arial" w:ascii="Arial" w:hAnsi="Arial"/>
        </w:rPr>
        <w:t>registrarão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exclusivamente por meio do sistema eletrônico, valor da proposta </w:t>
      </w:r>
      <w:r>
        <w:rPr>
          <w:rFonts w:eastAsia="Arial" w:cs="Arial" w:ascii="Arial" w:hAnsi="Arial"/>
        </w:rPr>
        <w:t>no campo indicado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até a data e o horário estabelecidos para abertura da sessão pública.</w:t>
      </w:r>
    </w:p>
    <w:p>
      <w:pPr>
        <w:pStyle w:val="normal1"/>
        <w:keepNext w:val="false"/>
        <w:keepLines w:val="false"/>
        <w:pageBreakBefore w:val="false"/>
        <w:widowControl w:val="false"/>
        <w:numPr>
          <w:ilvl w:val="1"/>
          <w:numId w:val="25"/>
        </w:numPr>
        <w:shd w:val="clear" w:fill="auto"/>
        <w:tabs>
          <w:tab w:val="clear" w:pos="720"/>
          <w:tab w:val="left" w:pos="632"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Ao </w:t>
      </w:r>
      <w:r>
        <w:rPr>
          <w:rFonts w:eastAsia="Arial" w:cs="Arial" w:ascii="Arial" w:hAnsi="Arial"/>
        </w:rPr>
        <w:t>registrar</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sua proposta pelo sistema eletrônico o proponente deverá necessariamente postar apenas o </w:t>
      </w:r>
      <w:r>
        <w:rPr>
          <w:rFonts w:eastAsia="Arial" w:cs="Arial" w:ascii="Arial" w:hAnsi="Arial"/>
          <w:b/>
          <w:bCs/>
          <w:i w:val="false"/>
          <w:iCs w:val="false"/>
          <w:caps w:val="false"/>
          <w:smallCaps w:val="false"/>
          <w:strike w:val="false"/>
          <w:dstrike w:val="false"/>
          <w:color w:val="000000"/>
          <w:position w:val="0"/>
          <w:sz w:val="22"/>
          <w:u w:val="none"/>
          <w:vertAlign w:val="baseline"/>
        </w:rPr>
        <w:t>VALOR GLOBAL</w:t>
      </w:r>
    </w:p>
    <w:p>
      <w:pPr>
        <w:pStyle w:val="normal1"/>
        <w:keepNext w:val="false"/>
        <w:keepLines w:val="false"/>
        <w:pageBreakBefore w:val="false"/>
        <w:widowControl w:val="false"/>
        <w:numPr>
          <w:ilvl w:val="1"/>
          <w:numId w:val="25"/>
        </w:numPr>
        <w:shd w:val="clear" w:fill="auto"/>
        <w:tabs>
          <w:tab w:val="clear" w:pos="720"/>
          <w:tab w:val="left" w:pos="6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6.3.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w:t>
      </w:r>
      <w:r>
        <w:rPr>
          <w:rFonts w:eastAsia="Arial" w:cs="Arial" w:ascii="Arial" w:hAnsi="Arial"/>
        </w:rPr>
        <w:t>registro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da proposta pressupõe o pleno conhecimento e atendimento às exigências de habilitação previstas no Edital e seus Anexos.</w:t>
      </w:r>
    </w:p>
    <w:p>
      <w:pPr>
        <w:pStyle w:val="normal1"/>
        <w:keepNext w:val="false"/>
        <w:keepLines w:val="false"/>
        <w:pageBreakBefore w:val="false"/>
        <w:widowControl w:val="false"/>
        <w:numPr>
          <w:ilvl w:val="1"/>
          <w:numId w:val="25"/>
        </w:numPr>
        <w:shd w:val="clear" w:fill="auto"/>
        <w:tabs>
          <w:tab w:val="clear" w:pos="720"/>
          <w:tab w:val="left" w:pos="62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proponente será responsável por todas as transações que forem efetuadas em seu nome no sistema eletrônico, assumindo como firmes e verdadeiras suas propostas e lances.</w:t>
      </w:r>
    </w:p>
    <w:p>
      <w:pPr>
        <w:pStyle w:val="normal1"/>
        <w:keepNext w:val="false"/>
        <w:keepLines w:val="false"/>
        <w:pageBreakBefore w:val="false"/>
        <w:widowControl w:val="false"/>
        <w:numPr>
          <w:ilvl w:val="1"/>
          <w:numId w:val="25"/>
        </w:numPr>
        <w:shd w:val="clear" w:fill="auto"/>
        <w:tabs>
          <w:tab w:val="clear" w:pos="720"/>
          <w:tab w:val="left" w:pos="6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6.5.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Quanto ao valor da proposta postada eletronicamente, todas entrarão na disputa de lance, porém somente será classificado o valor da proposta que estiver dentro do valor estimado/máximo.</w:t>
      </w:r>
    </w:p>
    <w:p>
      <w:pPr>
        <w:pStyle w:val="normal1"/>
        <w:keepNext w:val="false"/>
        <w:keepLines w:val="false"/>
        <w:pageBreakBefore w:val="false"/>
        <w:widowControl w:val="false"/>
        <w:shd w:val="clear" w:fill="auto"/>
        <w:tabs>
          <w:tab w:val="clear" w:pos="720"/>
          <w:tab w:val="left" w:pos="601" w:leader="none"/>
          <w:tab w:val="left" w:pos="993"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rPr>
        <w:t>6.6.</w:t>
      </w:r>
      <w:r>
        <w:rPr>
          <w:rFonts w:eastAsia="Arial" w:cs="Arial" w:ascii="Arial" w:hAnsi="Arial"/>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É vedada a cotação parcial de itens ou de quantidade inferior à demandada nesta licitação.</w:t>
      </w:r>
    </w:p>
    <w:p>
      <w:pPr>
        <w:pStyle w:val="normal1"/>
        <w:keepNext w:val="false"/>
        <w:keepLines w:val="false"/>
        <w:pageBreakBefore w:val="false"/>
        <w:widowControl w:val="false"/>
        <w:shd w:val="clear" w:fill="auto"/>
        <w:spacing w:lineRule="auto" w:line="360" w:before="0" w:after="0"/>
        <w:ind w:hanging="426" w:start="426"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w:t>
      </w:r>
      <w:r>
        <w:rPr>
          <w:rFonts w:eastAsia="Arial" w:cs="Arial" w:ascii="Arial" w:hAnsi="Arial"/>
          <w:b/>
          <w:bCs/>
        </w:rPr>
        <w:t>7</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Todas as especificações do objeto contidas na proposta vinculam a proponente.</w:t>
      </w:r>
    </w:p>
    <w:p>
      <w:pPr>
        <w:pStyle w:val="normal1"/>
        <w:keepNext w:val="false"/>
        <w:keepLines w:val="false"/>
        <w:pageBreakBefore w:val="false"/>
        <w:widowControl w:val="false"/>
        <w:numPr>
          <w:ilvl w:val="1"/>
          <w:numId w:val="23"/>
        </w:numPr>
        <w:shd w:val="clear" w:fill="auto"/>
        <w:tabs>
          <w:tab w:val="clear" w:pos="720"/>
          <w:tab w:val="left" w:pos="78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w:t>
      </w:r>
      <w:r>
        <w:rPr>
          <w:rFonts w:eastAsia="Arial" w:cs="Arial" w:ascii="Arial" w:hAnsi="Arial"/>
          <w:b/>
          <w:bCs/>
        </w:rPr>
        <w:t>8</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Nos valores propostos estarão inclusos todos os custos operacionais, encargos previdenciários, trabalhistas, tributários, comerciais e quaisquer outros que incidam direta ou indiretamente na execução da obra.</w:t>
      </w:r>
    </w:p>
    <w:p>
      <w:pPr>
        <w:pStyle w:val="normal1"/>
        <w:keepNext w:val="false"/>
        <w:keepLines w:val="false"/>
        <w:pageBreakBefore w:val="false"/>
        <w:widowControl w:val="false"/>
        <w:numPr>
          <w:ilvl w:val="1"/>
          <w:numId w:val="23"/>
        </w:numPr>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w:t>
      </w:r>
      <w:r>
        <w:rPr>
          <w:rFonts w:eastAsia="Arial" w:cs="Arial" w:ascii="Arial" w:hAnsi="Arial"/>
          <w:b/>
          <w:bCs/>
        </w:rPr>
        <w:t>9</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Os preços ofertados, tanto na proposta inicial, quanto na etapa de lances, serão de exclusiva responsabilidade do proponente, não lhe assistindo o direito de pleitear qualquer alteração, sob alegação de erro, omissão ou qualquer outro pretexto.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6.1</w:t>
      </w:r>
      <w:r>
        <w:rPr>
          <w:rFonts w:eastAsia="Arial" w:cs="Arial" w:ascii="Arial" w:hAnsi="Arial"/>
          <w:b/>
          <w:bCs/>
        </w:rPr>
        <w:t>0</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Incumbirá ao proponente acompanhar as operações no sistema eletrônico durante a sessão pública da Concorrência, ficando responsável pelo ônus decorrente da perda de negócios, diante da inobservância de quaisquer mensagens emitidas pelo sistema ou de sua desconexão.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6.1</w:t>
      </w:r>
      <w:r>
        <w:rPr>
          <w:rFonts w:eastAsia="Arial" w:cs="Arial" w:ascii="Arial" w:hAnsi="Arial"/>
          <w:b/>
          <w:bCs/>
        </w:rPr>
        <w:t>1</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Até a abertura da sessão pública, os proponentes poderão retirar ou substituir a proposta anteriormente inserid</w:t>
      </w:r>
      <w:r>
        <w:rPr>
          <w:rFonts w:eastAsia="Arial" w:cs="Arial" w:ascii="Arial" w:hAnsi="Arial"/>
        </w:rPr>
        <w:t>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no sistema.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FORMA DE ENVIO DA PROPOSTA DE PREÇOS</w:t>
      </w:r>
    </w:p>
    <w:p>
      <w:pPr>
        <w:pStyle w:val="normal1"/>
        <w:keepNext w:val="false"/>
        <w:keepLines w:val="false"/>
        <w:pageBreakBefore w:val="false"/>
        <w:widowControl w:val="false"/>
        <w:numPr>
          <w:ilvl w:val="1"/>
          <w:numId w:val="29"/>
        </w:numPr>
        <w:shd w:val="clear" w:fill="auto"/>
        <w:tabs>
          <w:tab w:val="clear" w:pos="720"/>
          <w:tab w:val="left" w:pos="5"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A proposta de preços deverá ser </w:t>
      </w:r>
      <w:r>
        <w:rPr>
          <w:rFonts w:eastAsia="Arial" w:cs="Arial" w:ascii="Arial" w:hAnsi="Arial"/>
        </w:rPr>
        <w:t>anexada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exclusivamente via sistema, redigida em idioma nacional, sem cotações alternativas, emendas, rasuras ou entrelinhas, devendo ser datada e assinada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pelo representante lega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l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e pelo responsável técnico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do proponente devidamente identificados, contendo identificação do proponente, endereço, telefone, e-mail e dados bancários (banco, agência e conta bancária).</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7.2.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Após a fase de lances, a proposta atualizada deverá ser enviada no prazo máximo de até </w:t>
      </w:r>
      <w:r>
        <w:rPr>
          <w:rFonts w:eastAsia="Arial" w:cs="Arial" w:ascii="Arial" w:hAnsi="Arial"/>
          <w:b w:val="false"/>
          <w:bCs w:val="false"/>
          <w:i w:val="false"/>
          <w:iCs w:val="false"/>
          <w:caps w:val="false"/>
          <w:smallCaps w:val="false"/>
          <w:strike w:val="false"/>
          <w:dstrike w:val="false"/>
          <w:color w:val="000000"/>
          <w:position w:val="0"/>
          <w:sz w:val="22"/>
          <w:highlight w:val="white"/>
          <w:u w:val="none"/>
          <w:vertAlign w:val="baseline"/>
        </w:rPr>
        <w:t>02 (dois) dias</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úteis após a convocação do Agente de Contratação.</w:t>
      </w:r>
    </w:p>
    <w:p>
      <w:pPr>
        <w:pStyle w:val="normal1"/>
        <w:keepNext w:val="false"/>
        <w:keepLines w:val="false"/>
        <w:pageBreakBefore w:val="false"/>
        <w:widowControl w:val="false"/>
        <w:numPr>
          <w:ilvl w:val="1"/>
          <w:numId w:val="25"/>
        </w:numPr>
        <w:shd w:val="clear" w:fill="auto"/>
        <w:tabs>
          <w:tab w:val="clear" w:pos="720"/>
          <w:tab w:val="left" w:pos="6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7.3.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Não serão aceitas propostas sem a assinatura do representante legal e do responsável técnico do proponente devidamente identificado.</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7.4.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proposta deverá ser apresentada de acordo com o </w:t>
      </w:r>
      <w:r>
        <w:rPr>
          <w:rFonts w:eastAsia="Arial" w:cs="Arial" w:ascii="Arial" w:hAnsi="Arial"/>
          <w:b w:val="false"/>
          <w:bCs w:val="false"/>
          <w:i w:val="false"/>
          <w:iCs w:val="false"/>
          <w:caps w:val="false"/>
          <w:smallCaps w:val="false"/>
          <w:strike w:val="false"/>
          <w:dstrike w:val="false"/>
          <w:color w:val="000000"/>
          <w:position w:val="0"/>
          <w:sz w:val="22"/>
          <w:highlight w:val="white"/>
          <w:u w:val="none"/>
          <w:vertAlign w:val="baseline"/>
        </w:rPr>
        <w:t>Anexo I</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deste Edital e deverá conter, sob pena de desclassificação:</w:t>
      </w:r>
    </w:p>
    <w:p>
      <w:pPr>
        <w:pStyle w:val="normal1"/>
        <w:keepNext w:val="false"/>
        <w:keepLines w:val="false"/>
        <w:pageBreakBefore w:val="false"/>
        <w:widowControl w:val="false"/>
        <w:numPr>
          <w:ilvl w:val="2"/>
          <w:numId w:val="25"/>
        </w:numPr>
        <w:shd w:val="clear" w:fill="auto"/>
        <w:tabs>
          <w:tab w:val="clear" w:pos="720"/>
          <w:tab w:val="left" w:pos="81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7.5.</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Os valores da proposta deverão ser apresentados com duas casas decimais após a vírgula, com a seguinte regra de arredondamento</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se o terceiro dígito após a vírgula estiver entre 0 e 4, o segundo dígito após a vírgula não é alterado; se o terceiro dígito após a vírgula estiver entre 5 e 9, o segundo dígito após a vírgula é arredondado para cima.</w:t>
      </w:r>
    </w:p>
    <w:p>
      <w:pPr>
        <w:pStyle w:val="normal1"/>
        <w:keepNext w:val="false"/>
        <w:keepLines w:val="false"/>
        <w:pageBreakBefore w:val="false"/>
        <w:widowControl w:val="false"/>
        <w:numPr>
          <w:ilvl w:val="2"/>
          <w:numId w:val="25"/>
        </w:numPr>
        <w:shd w:val="clear" w:fill="auto"/>
        <w:tabs>
          <w:tab w:val="clear" w:pos="720"/>
          <w:tab w:val="left" w:pos="822"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7.6.</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Validade por um prazo não inferior a 90 (noventa) dias corridos, contados da data fixada para o recebimento da proposta;</w:t>
      </w:r>
    </w:p>
    <w:p>
      <w:pPr>
        <w:pStyle w:val="normal1"/>
        <w:keepNext w:val="false"/>
        <w:keepLines w:val="false"/>
        <w:pageBreakBefore w:val="false"/>
        <w:widowControl w:val="false"/>
        <w:numPr>
          <w:ilvl w:val="2"/>
          <w:numId w:val="25"/>
        </w:numPr>
        <w:shd w:val="clear" w:fill="auto"/>
        <w:tabs>
          <w:tab w:val="clear" w:pos="720"/>
          <w:tab w:val="left" w:pos="80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7.7.</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Deverá constar na proposta:</w:t>
      </w:r>
    </w:p>
    <w:p>
      <w:pPr>
        <w:pStyle w:val="normal1"/>
        <w:keepNext w:val="false"/>
        <w:keepLines w:val="false"/>
        <w:pageBreakBefore w:val="false"/>
        <w:widowControl w:val="false"/>
        <w:shd w:val="clear" w:fill="auto"/>
        <w:tabs>
          <w:tab w:val="clear" w:pos="720"/>
          <w:tab w:val="left" w:pos="786" w:leader="none"/>
        </w:tabs>
        <w:spacing w:lineRule="auto" w:line="360" w:before="0" w:after="0"/>
        <w:ind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Planilha Orçamentária contendo:</w:t>
      </w:r>
    </w:p>
    <w:p>
      <w:pPr>
        <w:pStyle w:val="normal1"/>
        <w:keepNext w:val="false"/>
        <w:keepLines w:val="false"/>
        <w:pageBreakBefore w:val="false"/>
        <w:widowControl w:val="false"/>
        <w:numPr>
          <w:ilvl w:val="0"/>
          <w:numId w:val="21"/>
        </w:numPr>
        <w:shd w:val="clear" w:fill="auto"/>
        <w:tabs>
          <w:tab w:val="clear" w:pos="720"/>
          <w:tab w:val="left" w:pos="516" w:leader="none"/>
        </w:tabs>
        <w:spacing w:lineRule="auto" w:line="360" w:before="0" w:after="0"/>
        <w:ind w:hanging="0" w:start="232"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Orçamento detalhado: com indicação do respectivo custo unitário, percentual de BDI para o item, preço unitário (custo unitário acrescido do BDI) e o preço total do item.</w:t>
      </w:r>
    </w:p>
    <w:p>
      <w:pPr>
        <w:pStyle w:val="normal1"/>
        <w:keepNext w:val="false"/>
        <w:keepLines w:val="false"/>
        <w:pageBreakBefore w:val="false"/>
        <w:widowControl w:val="false"/>
        <w:numPr>
          <w:ilvl w:val="0"/>
          <w:numId w:val="21"/>
        </w:numPr>
        <w:shd w:val="clear" w:fill="auto"/>
        <w:tabs>
          <w:tab w:val="clear" w:pos="720"/>
          <w:tab w:val="left" w:pos="572" w:leader="none"/>
        </w:tabs>
        <w:spacing w:lineRule="auto" w:line="360" w:before="0" w:after="0"/>
        <w:ind w:hanging="0" w:start="232"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Composição de custos: devendo constar a composição de </w:t>
      </w:r>
      <w:r>
        <w:rPr>
          <w:rFonts w:eastAsia="Arial" w:cs="Arial" w:ascii="Arial" w:hAnsi="Arial"/>
          <w:b/>
          <w:bCs/>
          <w:i w:val="false"/>
          <w:iCs w:val="false"/>
          <w:caps w:val="false"/>
          <w:smallCaps w:val="false"/>
          <w:strike w:val="false"/>
          <w:dstrike w:val="false"/>
          <w:color w:val="000000"/>
          <w:position w:val="0"/>
          <w:sz w:val="22"/>
          <w:u w:val="single"/>
          <w:shd w:fill="auto" w:val="clear"/>
          <w:vertAlign w:val="baseline"/>
        </w:rPr>
        <w:t>todos</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os custos unitários indicados no orçamento detalhado, calculados levando-se em conta </w:t>
      </w:r>
      <w:r>
        <w:rPr>
          <w:rFonts w:eastAsia="Arial" w:cs="Arial" w:ascii="Arial" w:hAnsi="Arial"/>
          <w:b/>
          <w:bCs/>
          <w:i w:val="false"/>
          <w:iCs w:val="false"/>
          <w:caps w:val="false"/>
          <w:smallCaps w:val="false"/>
          <w:strike w:val="false"/>
          <w:dstrike w:val="false"/>
          <w:color w:val="000000"/>
          <w:position w:val="0"/>
          <w:sz w:val="22"/>
          <w:u w:val="single"/>
          <w:shd w:fill="auto" w:val="clear"/>
          <w:vertAlign w:val="baseline"/>
        </w:rPr>
        <w:t>todos</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os materiais, mão de obra e encargos necessários à sua execução.</w:t>
      </w:r>
    </w:p>
    <w:p>
      <w:pPr>
        <w:pStyle w:val="normal1"/>
        <w:keepNext w:val="false"/>
        <w:keepLines w:val="false"/>
        <w:pageBreakBefore w:val="false"/>
        <w:widowControl w:val="false"/>
        <w:numPr>
          <w:ilvl w:val="1"/>
          <w:numId w:val="21"/>
        </w:numPr>
        <w:shd w:val="clear" w:fill="auto"/>
        <w:tabs>
          <w:tab w:val="clear" w:pos="720"/>
          <w:tab w:val="left" w:pos="1170" w:leader="none"/>
        </w:tabs>
        <w:spacing w:lineRule="auto" w:line="360" w:before="0" w:after="0"/>
        <w:ind w:hanging="447"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Inclusive nos casos em que são utilizadas composições extraídas de tabelas de referência.</w:t>
      </w:r>
    </w:p>
    <w:p>
      <w:pPr>
        <w:pStyle w:val="normal1"/>
        <w:keepNext w:val="false"/>
        <w:keepLines w:val="false"/>
        <w:pageBreakBefore w:val="false"/>
        <w:widowControl w:val="false"/>
        <w:shd w:val="clear" w:fill="auto"/>
        <w:tabs>
          <w:tab w:val="clear" w:pos="720"/>
          <w:tab w:val="left" w:pos="786" w:leader="none"/>
        </w:tabs>
        <w:spacing w:lineRule="auto" w:line="360" w:before="0" w:after="0"/>
        <w:ind w:end="250"/>
        <w:jc w:val="both"/>
        <w:rPr>
          <w:rFonts w:ascii="Arial" w:hAnsi="Arial" w:eastAsia="Arial" w:cs="Arial"/>
          <w:i w:val="false"/>
          <w:iCs w:val="false"/>
          <w:caps w:val="false"/>
          <w:smallCaps w:val="false"/>
          <w:strike w:val="false"/>
          <w:dstrike w:val="false"/>
          <w:color w:val="000000"/>
          <w:position w:val="0"/>
          <w:sz w:val="22"/>
          <w:highlight w:val="white"/>
          <w:u w:val="none"/>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Cronograma físico-financeiro</w:t>
      </w:r>
      <w:r>
        <w:rPr>
          <w:rFonts w:eastAsia="Arial" w:cs="Arial" w:ascii="Arial" w:hAnsi="Arial"/>
          <w:i w:val="false"/>
          <w:iCs w:val="false"/>
          <w:caps w:val="false"/>
          <w:smallCaps w:val="false"/>
          <w:strike w:val="false"/>
          <w:dstrike w:val="false"/>
          <w:color w:val="000000"/>
          <w:position w:val="0"/>
          <w:sz w:val="22"/>
          <w:highlight w:val="white"/>
          <w:u w:val="none"/>
          <w:vertAlign w:val="baseline"/>
        </w:rPr>
        <w:t>.</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7.8.</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valor total de cada item indicado no orçamento detalhado deverá ser o produto da multiplicação do preço unitário pela respectiva quantidade.</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7.9.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É obrigatória a indicação do preço unitário (custo unitário + BDI).</w:t>
      </w:r>
    </w:p>
    <w:p>
      <w:pPr>
        <w:pStyle w:val="normal1"/>
        <w:keepNext w:val="false"/>
        <w:keepLines w:val="false"/>
        <w:pageBreakBefore w:val="false"/>
        <w:widowControl w:val="false"/>
        <w:numPr>
          <w:ilvl w:val="1"/>
          <w:numId w:val="19"/>
        </w:numPr>
        <w:shd w:val="clear" w:fill="auto"/>
        <w:tabs>
          <w:tab w:val="clear" w:pos="720"/>
          <w:tab w:val="left" w:pos="663"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7.10.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Serão desconsideradas as propostas que apresentarem alternativas de preços ou qualquer outra condição não prevista neste Edital.</w:t>
      </w:r>
    </w:p>
    <w:p>
      <w:pPr>
        <w:pStyle w:val="normal1"/>
        <w:keepNext w:val="false"/>
        <w:keepLines w:val="false"/>
        <w:pageBreakBefore w:val="false"/>
        <w:widowControl w:val="false"/>
        <w:numPr>
          <w:ilvl w:val="1"/>
          <w:numId w:val="19"/>
        </w:numPr>
        <w:shd w:val="clear" w:fill="auto"/>
        <w:tabs>
          <w:tab w:val="clear" w:pos="720"/>
          <w:tab w:val="left" w:pos="61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7.11.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Se a adjudicação não puder ocorrer dentro do período de validade da proposta, ou seja, 90 (noventa) dias, e caso persista o interesse do Município, este poderá solicitar a prorrogação da validade da proposta por igual prazo.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ABERTURA DA SESSÃO ELETRÔNICA E DA FORMULAÇÃO DE LANCES</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8.1.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modo de disputa se dará na forma prevista no subitem 1.7 do edital.</w:t>
      </w:r>
    </w:p>
    <w:p>
      <w:pPr>
        <w:pStyle w:val="normal1"/>
        <w:keepNext w:val="false"/>
        <w:keepLines w:val="false"/>
        <w:pageBreakBefore w:val="false"/>
        <w:widowControl w:val="false"/>
        <w:numPr>
          <w:ilvl w:val="1"/>
          <w:numId w:val="25"/>
        </w:numPr>
        <w:shd w:val="clear" w:fill="auto"/>
        <w:tabs>
          <w:tab w:val="clear" w:pos="720"/>
          <w:tab w:val="left" w:pos="61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8.2.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partir do horário previsto no sistema, terá início a sessão pública da Concorrência, com a divulgação das propostas de preços recebidas pelo </w:t>
      </w:r>
      <w:r>
        <w:rPr>
          <w:rFonts w:eastAsia="Arial" w:cs="Arial" w:ascii="Arial" w:hAnsi="Arial"/>
          <w:b w:val="false"/>
          <w:bCs w:val="false"/>
          <w:i/>
          <w:iCs/>
          <w:caps w:val="false"/>
          <w:smallCaps w:val="false"/>
          <w:strike w:val="false"/>
          <w:dstrike w:val="false"/>
          <w:color w:val="000000"/>
          <w:position w:val="0"/>
          <w:sz w:val="22"/>
          <w:u w:val="none"/>
          <w:shd w:fill="auto" w:val="clear"/>
          <w:vertAlign w:val="baseline"/>
        </w:rPr>
        <w:t xml:space="preserve">site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já indicado no item 1 deste Edital, passando o Agente de Contratação a avaliar a aceitabilidade das propostas.</w:t>
      </w:r>
    </w:p>
    <w:p>
      <w:pPr>
        <w:pStyle w:val="normal1"/>
        <w:keepNext w:val="false"/>
        <w:keepLines w:val="false"/>
        <w:pageBreakBefore w:val="false"/>
        <w:widowControl w:val="false"/>
        <w:numPr>
          <w:ilvl w:val="1"/>
          <w:numId w:val="25"/>
        </w:numPr>
        <w:shd w:val="clear" w:fill="auto"/>
        <w:tabs>
          <w:tab w:val="clear" w:pos="720"/>
          <w:tab w:val="left" w:pos="63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8.3.</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Aberta a etapa competitiva, os representantes dos proponentes deverão estar conectados ao sistema para participar da sessão de lances, que ocorrerá exclusivamente por meio do sistema eletrônico. A cada lance ofertado o participante será imediatamente informado de seu recebimento e respectivo horário de registro e valor.</w:t>
      </w:r>
    </w:p>
    <w:p>
      <w:pPr>
        <w:pStyle w:val="normal1"/>
        <w:keepNext w:val="false"/>
        <w:keepLines w:val="false"/>
        <w:pageBreakBefore w:val="false"/>
        <w:widowControl w:val="false"/>
        <w:shd w:val="clear" w:fill="auto"/>
        <w:tabs>
          <w:tab w:val="clear" w:pos="720"/>
          <w:tab w:val="left" w:pos="786" w:leader="none"/>
        </w:tabs>
        <w:spacing w:lineRule="auto" w:line="360" w:before="0" w:after="0"/>
        <w:ind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8.4.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intervalo mínimo de diferença de valores entre os lances é de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R$ 0,0</w:t>
      </w:r>
      <w:r>
        <w:rPr>
          <w:rFonts w:eastAsia="Arial" w:cs="Arial" w:ascii="Arial" w:hAnsi="Arial"/>
          <w:u w:val="single"/>
        </w:rPr>
        <w:t>1</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 xml:space="preserve"> (um centavo de real)</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1"/>
          <w:numId w:val="25"/>
        </w:numPr>
        <w:shd w:val="clear" w:fill="auto"/>
        <w:tabs>
          <w:tab w:val="clear" w:pos="720"/>
          <w:tab w:val="left" w:pos="616"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8.5.</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Durante o transcurso da sessão pública, os participantes serão informados, em tempo real, do valor do menor lance registrado. O sistema não divulgará o autor dos lances aos demais participantes.</w:t>
      </w:r>
    </w:p>
    <w:p>
      <w:pPr>
        <w:pStyle w:val="normal1"/>
        <w:keepNext w:val="false"/>
        <w:keepLines w:val="false"/>
        <w:pageBreakBefore w:val="false"/>
        <w:widowControl w:val="false"/>
        <w:numPr>
          <w:ilvl w:val="1"/>
          <w:numId w:val="25"/>
        </w:numPr>
        <w:shd w:val="clear" w:fill="auto"/>
        <w:tabs>
          <w:tab w:val="clear" w:pos="720"/>
          <w:tab w:val="left" w:pos="639"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417" w:leader="none"/>
        </w:tabs>
        <w:spacing w:lineRule="auto" w:line="360" w:before="0" w:after="0"/>
        <w:ind w:hanging="185" w:start="416"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DOS DOCUMENTOS DE HABILITAÇÃO</w:t>
      </w:r>
    </w:p>
    <w:p>
      <w:pPr>
        <w:pStyle w:val="normal1"/>
        <w:keepNext w:val="false"/>
        <w:keepLines w:val="false"/>
        <w:pageBreakBefore w:val="false"/>
        <w:widowControl w:val="false"/>
        <w:numPr>
          <w:ilvl w:val="1"/>
          <w:numId w:val="25"/>
        </w:numPr>
        <w:shd w:val="clear" w:fill="auto"/>
        <w:tabs>
          <w:tab w:val="clear" w:pos="720"/>
          <w:tab w:val="left" w:pos="667" w:leader="none"/>
        </w:tabs>
        <w:spacing w:lineRule="auto" w:line="360" w:before="0" w:after="0"/>
        <w:ind w:hanging="0" w:start="0"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9.1.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Os documentos de habilitação deverão ser enviados exclusivamente via sistema eletrônico, após convocação do Agente de Contratação, no prazo estabelecido pelo item 7.2 do Edital, de forma legível, no sentido de que ofereçam condições de análise</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1"/>
          <w:numId w:val="25"/>
        </w:numPr>
        <w:shd w:val="clear" w:fill="auto"/>
        <w:tabs>
          <w:tab w:val="clear" w:pos="720"/>
          <w:tab w:val="left" w:pos="653"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9.2.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Serão aceitos comprovantes obtidos na rede internet, desde que os mesmos tenham sua validade confirmada pelo Agente de Contratação, na fase de habilitação.</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9.3.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Deverão ser apresentadas Certidões Negativas ou Positivas com efeito de negativa;</w:t>
      </w:r>
    </w:p>
    <w:p>
      <w:pPr>
        <w:pStyle w:val="normal1"/>
        <w:keepNext w:val="false"/>
        <w:keepLines w:val="false"/>
        <w:pageBreakBefore w:val="false"/>
        <w:widowControl w:val="false"/>
        <w:numPr>
          <w:ilvl w:val="1"/>
          <w:numId w:val="25"/>
        </w:numPr>
        <w:shd w:val="clear" w:fill="auto"/>
        <w:tabs>
          <w:tab w:val="clear" w:pos="720"/>
          <w:tab w:val="left" w:pos="632"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9.</w:t>
      </w:r>
      <w:r>
        <w:rPr>
          <w:rFonts w:eastAsia="Arial" w:cs="Arial" w:ascii="Arial" w:hAnsi="Arial"/>
          <w:b/>
          <w:bCs/>
        </w:rPr>
        <w:t>4</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Caso atendidas as condições de participação, a habilitação do proponente poderá ser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shd w:fill="auto" w:val="clear"/>
          <w:vertAlign w:val="baseline"/>
        </w:rPr>
      </w:r>
    </w:p>
    <w:p>
      <w:pPr>
        <w:pStyle w:val="normal1"/>
        <w:keepNext w:val="false"/>
        <w:keepLines w:val="false"/>
        <w:pageBreakBefore w:val="false"/>
        <w:widowControl w:val="false"/>
        <w:numPr>
          <w:ilvl w:val="1"/>
          <w:numId w:val="25"/>
        </w:numPr>
        <w:shd w:val="clear" w:fill="auto"/>
        <w:tabs>
          <w:tab w:val="clear" w:pos="720"/>
          <w:tab w:val="left" w:pos="601" w:leader="none"/>
        </w:tabs>
        <w:spacing w:lineRule="auto" w:line="360" w:before="0" w:after="0"/>
        <w:ind w:hanging="0" w:start="0" w:end="250"/>
        <w:jc w:val="both"/>
        <w:rPr>
          <w:rFonts w:ascii="Arial" w:hAnsi="Arial" w:eastAsia="Arial" w:cs="Arial"/>
          <w:b/>
          <w:bCs/>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bCs/>
          <w:i w:val="false"/>
          <w:iCs w:val="false"/>
          <w:caps w:val="false"/>
          <w:smallCaps w:val="false"/>
          <w:strike w:val="false"/>
          <w:dstrike w:val="false"/>
          <w:color w:val="000000"/>
          <w:position w:val="0"/>
          <w:sz w:val="22"/>
          <w:u w:val="single"/>
          <w:vertAlign w:val="baseline"/>
        </w:rPr>
        <w:t>A documentação para fins de habilitação é constituída de</w:t>
      </w:r>
      <w:r>
        <w:rPr>
          <w:rFonts w:eastAsia="Arial" w:cs="Arial" w:ascii="Arial" w:hAnsi="Arial"/>
          <w:b/>
          <w:bCs/>
          <w:i w:val="false"/>
          <w:iCs w:val="false"/>
          <w:caps w:val="false"/>
          <w:smallCaps w:val="false"/>
          <w:strike w:val="false"/>
          <w:dstrike w:val="false"/>
          <w:color w:val="000000"/>
          <w:position w:val="0"/>
          <w:sz w:val="22"/>
          <w:u w:val="none"/>
          <w:vertAlign w:val="baseline"/>
        </w:rPr>
        <w:t>:</w:t>
      </w:r>
    </w:p>
    <w:p>
      <w:pPr>
        <w:pStyle w:val="normal1"/>
        <w:numPr>
          <w:ilvl w:val="0"/>
          <w:numId w:val="24"/>
        </w:numPr>
        <w:tabs>
          <w:tab w:val="clear" w:pos="720"/>
          <w:tab w:val="left" w:pos="519" w:leader="none"/>
          <w:tab w:val="left" w:pos="851" w:leader="none"/>
        </w:tabs>
        <w:spacing w:lineRule="auto" w:line="360"/>
        <w:ind w:hanging="0" w:start="0" w:end="250"/>
        <w:jc w:val="both"/>
        <w:rPr/>
      </w:pPr>
      <w:r>
        <w:rPr>
          <w:rFonts w:eastAsia="Arial" w:cs="Arial" w:ascii="Arial" w:hAnsi="Arial"/>
        </w:rPr>
        <w:t>atos constitutivos estatuto ou contrato social em vigor, devidamente registrados, ou o registro público de empresário individual e, no caso de sociedades por ações, acompanhado de documento de eleição de seus administradores, bem como das alterações, caso existam, e, no caso de sociedades simples, acompanhados de prova de diretoria em exercício;</w:t>
      </w:r>
    </w:p>
    <w:p>
      <w:pPr>
        <w:pStyle w:val="normal1"/>
        <w:numPr>
          <w:ilvl w:val="0"/>
          <w:numId w:val="24"/>
        </w:numPr>
        <w:tabs>
          <w:tab w:val="clear" w:pos="720"/>
          <w:tab w:val="left" w:pos="494" w:leader="none"/>
          <w:tab w:val="left" w:pos="851" w:leader="none"/>
        </w:tabs>
        <w:spacing w:lineRule="auto" w:line="360"/>
        <w:ind w:hanging="0" w:start="0" w:end="250"/>
        <w:jc w:val="both"/>
        <w:rPr/>
      </w:pPr>
      <w:r>
        <w:rPr>
          <w:rFonts w:eastAsia="Arial" w:cs="Arial" w:ascii="Arial" w:hAnsi="Arial"/>
        </w:rPr>
        <w:t>prova de inscrição no Cadastro Nacional de Pessoa Jurídica (CNPJ);</w:t>
      </w:r>
    </w:p>
    <w:p>
      <w:pPr>
        <w:pStyle w:val="normal1"/>
        <w:numPr>
          <w:ilvl w:val="0"/>
          <w:numId w:val="24"/>
        </w:numPr>
        <w:tabs>
          <w:tab w:val="clear" w:pos="720"/>
          <w:tab w:val="left" w:pos="531" w:leader="none"/>
          <w:tab w:val="left" w:pos="851" w:leader="none"/>
        </w:tabs>
        <w:spacing w:lineRule="auto" w:line="360"/>
        <w:ind w:hanging="0" w:start="0" w:end="250"/>
        <w:jc w:val="both"/>
        <w:rPr/>
      </w:pPr>
      <w:r>
        <w:rPr>
          <w:rFonts w:eastAsia="Arial" w:cs="Arial" w:ascii="Arial" w:hAnsi="Arial"/>
        </w:rPr>
        <w:t>prova de Cadastro de Contribuintes do ICMS (Fazenda Estadual), relativo ao domicílio ou sede do proponente, pertinente ao seu ramo de atividade e compatível com o objeto da licitação, ou declaração de que não recolhe tributos estaduais, sendo, portanto isenta da Inscrição Estadual;</w:t>
      </w:r>
    </w:p>
    <w:p>
      <w:pPr>
        <w:pStyle w:val="normal1"/>
        <w:numPr>
          <w:ilvl w:val="0"/>
          <w:numId w:val="24"/>
        </w:numPr>
        <w:tabs>
          <w:tab w:val="clear" w:pos="720"/>
          <w:tab w:val="left" w:pos="531" w:leader="none"/>
          <w:tab w:val="left" w:pos="851" w:leader="none"/>
        </w:tabs>
        <w:spacing w:lineRule="auto" w:line="360"/>
        <w:ind w:hanging="0" w:start="0" w:end="250"/>
        <w:jc w:val="both"/>
        <w:rPr/>
      </w:pPr>
      <w:r>
        <w:rPr>
          <w:rFonts w:eastAsia="Arial" w:cs="Arial" w:ascii="Arial" w:hAnsi="Arial"/>
        </w:rPr>
        <w:t>Prova de inscrição Municipal, relativo ao domicílio ou sede do proponente, pertinente ao seu ramo de atividade e compatível com o objeto da licitação;</w:t>
      </w:r>
    </w:p>
    <w:p>
      <w:pPr>
        <w:pStyle w:val="normal1"/>
        <w:numPr>
          <w:ilvl w:val="0"/>
          <w:numId w:val="24"/>
        </w:numPr>
        <w:tabs>
          <w:tab w:val="clear" w:pos="720"/>
          <w:tab w:val="left" w:pos="494" w:leader="none"/>
          <w:tab w:val="left" w:pos="851" w:leader="none"/>
        </w:tabs>
        <w:spacing w:lineRule="auto" w:line="360"/>
        <w:ind w:hanging="0" w:start="0" w:end="250"/>
        <w:jc w:val="both"/>
        <w:rPr/>
      </w:pPr>
      <w:r>
        <w:rPr>
          <w:rFonts w:eastAsia="Arial" w:cs="Arial" w:ascii="Arial" w:hAnsi="Arial"/>
        </w:rPr>
        <w:t>Certidão Negativa de Débitos relativos aos Tributos Federais, à Dívida Ativa da União e às contribuições previdenciárias e de terceiros;</w:t>
      </w:r>
    </w:p>
    <w:p>
      <w:pPr>
        <w:pStyle w:val="normal1"/>
        <w:numPr>
          <w:ilvl w:val="0"/>
          <w:numId w:val="24"/>
        </w:numPr>
        <w:tabs>
          <w:tab w:val="clear" w:pos="720"/>
          <w:tab w:val="left" w:pos="448" w:leader="none"/>
          <w:tab w:val="left" w:pos="851" w:leader="none"/>
        </w:tabs>
        <w:spacing w:lineRule="auto" w:line="360"/>
        <w:ind w:hanging="0" w:start="0" w:end="250"/>
        <w:jc w:val="both"/>
        <w:rPr/>
      </w:pPr>
      <w:r>
        <w:rPr>
          <w:rFonts w:eastAsia="Arial" w:cs="Arial" w:ascii="Arial" w:hAnsi="Arial"/>
        </w:rPr>
        <w:t>Certidão Negativa de Débitos Estaduais, da sede do proponente;</w:t>
      </w:r>
    </w:p>
    <w:p>
      <w:pPr>
        <w:pStyle w:val="normal1"/>
        <w:numPr>
          <w:ilvl w:val="0"/>
          <w:numId w:val="24"/>
        </w:numPr>
        <w:tabs>
          <w:tab w:val="clear" w:pos="720"/>
          <w:tab w:val="left" w:pos="494" w:leader="none"/>
          <w:tab w:val="left" w:pos="851" w:leader="none"/>
        </w:tabs>
        <w:spacing w:lineRule="auto" w:line="360"/>
        <w:ind w:hanging="0" w:start="0" w:end="250"/>
        <w:jc w:val="both"/>
        <w:rPr/>
      </w:pPr>
      <w:r>
        <w:rPr>
          <w:rFonts w:eastAsia="Arial" w:cs="Arial" w:ascii="Arial" w:hAnsi="Arial"/>
        </w:rPr>
        <w:t>Certidão Negativa de Débitos Municipais, da sede do proponente;</w:t>
      </w:r>
    </w:p>
    <w:p>
      <w:pPr>
        <w:pStyle w:val="normal1"/>
        <w:numPr>
          <w:ilvl w:val="0"/>
          <w:numId w:val="24"/>
        </w:numPr>
        <w:tabs>
          <w:tab w:val="clear" w:pos="720"/>
          <w:tab w:val="left" w:pos="494" w:leader="none"/>
          <w:tab w:val="left" w:pos="851" w:leader="none"/>
        </w:tabs>
        <w:spacing w:lineRule="auto" w:line="360"/>
        <w:ind w:hanging="0" w:start="0" w:end="250"/>
        <w:jc w:val="both"/>
        <w:rPr/>
      </w:pPr>
      <w:r>
        <w:rPr>
          <w:rFonts w:eastAsia="Arial" w:cs="Arial" w:ascii="Arial" w:hAnsi="Arial"/>
        </w:rPr>
        <w:t>Certificado de Regularidade do FGTS;</w:t>
      </w:r>
    </w:p>
    <w:p>
      <w:pPr>
        <w:pStyle w:val="normal1"/>
        <w:numPr>
          <w:ilvl w:val="0"/>
          <w:numId w:val="24"/>
        </w:numPr>
        <w:tabs>
          <w:tab w:val="clear" w:pos="720"/>
          <w:tab w:val="left" w:pos="432" w:leader="none"/>
          <w:tab w:val="left" w:pos="851" w:leader="none"/>
        </w:tabs>
        <w:spacing w:lineRule="auto" w:line="360"/>
        <w:ind w:hanging="0" w:start="0" w:end="250"/>
        <w:jc w:val="both"/>
        <w:rPr/>
      </w:pPr>
      <w:r>
        <w:rPr>
          <w:rFonts w:eastAsia="Arial" w:cs="Arial" w:ascii="Arial" w:hAnsi="Arial"/>
        </w:rPr>
        <w:t>Certidão Negativa de Débitos Trabalhistas, conforme Lei nº 12.440, de 07 de julho de 2011;</w:t>
      </w:r>
    </w:p>
    <w:p>
      <w:pPr>
        <w:pStyle w:val="normal1"/>
        <w:numPr>
          <w:ilvl w:val="0"/>
          <w:numId w:val="24"/>
        </w:numPr>
        <w:tabs>
          <w:tab w:val="clear" w:pos="720"/>
          <w:tab w:val="left" w:pos="432" w:leader="none"/>
          <w:tab w:val="left" w:pos="851" w:leader="none"/>
        </w:tabs>
        <w:spacing w:lineRule="auto" w:line="360"/>
        <w:ind w:hanging="0" w:start="0" w:end="250"/>
        <w:jc w:val="both"/>
        <w:rPr/>
      </w:pPr>
      <w:r>
        <w:rPr>
          <w:rFonts w:eastAsia="Arial" w:cs="Arial" w:ascii="Arial" w:hAnsi="Arial"/>
        </w:rPr>
        <w:t>Certidão negativa de feitos sobre falência expedida pelo distribuidor da sede do licitante.</w:t>
      </w:r>
    </w:p>
    <w:p>
      <w:pPr>
        <w:pStyle w:val="normal1"/>
        <w:numPr>
          <w:ilvl w:val="0"/>
          <w:numId w:val="24"/>
        </w:numPr>
        <w:tabs>
          <w:tab w:val="clear" w:pos="720"/>
          <w:tab w:val="left" w:pos="571" w:leader="none"/>
          <w:tab w:val="left" w:pos="851" w:leader="none"/>
        </w:tabs>
        <w:spacing w:lineRule="auto" w:line="360"/>
        <w:ind w:hanging="0" w:start="0" w:end="250"/>
        <w:jc w:val="both"/>
        <w:rPr/>
      </w:pPr>
      <w:r>
        <w:rPr>
          <w:rFonts w:eastAsia="Arial" w:cs="Arial" w:ascii="Arial" w:hAnsi="Arial"/>
        </w:rPr>
        <w:t>Balanço Patrimonial, demonstração de resultado de exercício e demais demonstrações contábeis dos 2 (dois) últimos exercícios sociais;</w:t>
      </w:r>
    </w:p>
    <w:p>
      <w:pPr>
        <w:pStyle w:val="normal1"/>
        <w:tabs>
          <w:tab w:val="clear" w:pos="720"/>
          <w:tab w:val="left" w:pos="693" w:leader="none"/>
          <w:tab w:val="left" w:pos="851" w:leader="none"/>
        </w:tabs>
        <w:spacing w:lineRule="auto" w:line="360"/>
        <w:ind w:hanging="0" w:start="0" w:end="250"/>
        <w:jc w:val="both"/>
        <w:rPr>
          <w:rFonts w:ascii="Arial" w:hAnsi="Arial" w:eastAsia="Arial" w:cs="Arial"/>
        </w:rPr>
      </w:pPr>
      <w:r>
        <w:rPr>
          <w:rFonts w:eastAsia="Arial" w:cs="Arial" w:ascii="Arial" w:hAnsi="Arial"/>
        </w:rPr>
        <w:t>As empresas que adotam o Livro Diário, na forma física, deverão apresentar os Balanços Patrimoniais e demonstrações contábeis dos últimos 2 (dois) exercícios extraídos dos próprios Livros Diários, acompanhados dos respectivos termos de abertura e encerramento do mesmo, contendo a assinatura do contador e do titular ou representante legal da empresa e ainda, registrado ou o requerimento de autenticação na Junta Comercial ou registrado no Cartório de Registro;</w:t>
      </w:r>
    </w:p>
    <w:p>
      <w:pPr>
        <w:pStyle w:val="normal1"/>
        <w:tabs>
          <w:tab w:val="clear" w:pos="720"/>
          <w:tab w:val="left" w:pos="693" w:leader="none"/>
          <w:tab w:val="left" w:pos="851" w:leader="none"/>
        </w:tabs>
        <w:spacing w:lineRule="auto" w:line="360"/>
        <w:ind w:hanging="0" w:start="0" w:end="250"/>
        <w:jc w:val="both"/>
        <w:rPr>
          <w:rFonts w:ascii="Arial" w:hAnsi="Arial" w:eastAsia="Arial" w:cs="Arial"/>
        </w:rPr>
      </w:pPr>
      <w:r>
        <w:rPr>
          <w:rFonts w:eastAsia="Arial" w:cs="Arial" w:ascii="Arial" w:hAnsi="Arial"/>
        </w:rPr>
        <w:t>As empresas que adotam o SPED (Sistema Público Escrituração Digital) deverão apresentar Balanço Patrimonial e demonstrações contábeis dos últimos 2 (dois) exercícios sociais, extraídos do próprio sistema digital (SPED), acompanhados dos respectivos termos de abertura e encerramento dos mesmos e termos de autenticação ou recibos de entrega de escrituração contábil digital (conforme Decreto Federal n° 8.683/16), preferencialmente vistados em todas as páginas pelo representante legal da empresa;</w:t>
      </w:r>
    </w:p>
    <w:p>
      <w:pPr>
        <w:pStyle w:val="normal1"/>
        <w:tabs>
          <w:tab w:val="clear" w:pos="720"/>
          <w:tab w:val="left" w:pos="851" w:leader="none"/>
        </w:tabs>
        <w:spacing w:lineRule="auto" w:line="360"/>
        <w:ind w:hanging="0" w:start="0" w:end="250"/>
        <w:jc w:val="both"/>
        <w:rPr>
          <w:rFonts w:ascii="Arial" w:hAnsi="Arial" w:eastAsia="Arial" w:cs="Arial"/>
        </w:rPr>
      </w:pPr>
      <w:r>
        <w:rPr>
          <w:rFonts w:eastAsia="Arial" w:cs="Arial" w:ascii="Arial" w:hAnsi="Arial"/>
        </w:rPr>
        <w:t>Os Balanços Patrimoniais referentes aos últimos exercícios sociais serão aceitos somente até 30 de abril do ano subsequente;</w:t>
      </w:r>
    </w:p>
    <w:p>
      <w:pPr>
        <w:pStyle w:val="normal1"/>
        <w:tabs>
          <w:tab w:val="clear" w:pos="720"/>
          <w:tab w:val="left" w:pos="851" w:leader="none"/>
        </w:tabs>
        <w:spacing w:lineRule="auto" w:line="360"/>
        <w:ind w:hanging="0" w:start="0" w:end="250"/>
        <w:jc w:val="both"/>
        <w:rPr>
          <w:rFonts w:ascii="Arial" w:hAnsi="Arial" w:eastAsia="Arial" w:cs="Arial"/>
        </w:rPr>
      </w:pPr>
      <w:r>
        <w:rPr>
          <w:rFonts w:eastAsia="Arial" w:cs="Arial" w:ascii="Arial" w:hAnsi="Arial"/>
        </w:rPr>
        <w:t>No caso de empresa constituída no exercício social vigente, admite-se a apresentação de balanço patrimonial e demonstrações contábeis referentes ao período de existência da sociedade.</w:t>
      </w:r>
    </w:p>
    <w:p>
      <w:pPr>
        <w:pStyle w:val="normal1"/>
        <w:numPr>
          <w:ilvl w:val="0"/>
          <w:numId w:val="24"/>
        </w:numPr>
        <w:tabs>
          <w:tab w:val="clear" w:pos="720"/>
          <w:tab w:val="left" w:pos="469" w:leader="none"/>
          <w:tab w:val="left" w:pos="851" w:leader="none"/>
        </w:tabs>
        <w:spacing w:lineRule="auto" w:line="360"/>
        <w:ind w:hanging="0" w:start="0" w:end="250"/>
        <w:jc w:val="both"/>
        <w:rPr/>
      </w:pPr>
      <w:r>
        <w:rPr>
          <w:rFonts w:eastAsia="Arial" w:cs="Arial" w:ascii="Arial" w:hAnsi="Arial"/>
        </w:rPr>
        <w:t>Para avaliar a situação financeira do proponente serão considerados os índices de Liquidez Geral (LG), Solvência Geral (SG) e Liquidez Corrente (LC), iguais ou superiores a 1 (um), em ambos os exercícios, apurados pelas fórmulas abaixo, cujo cálculo poderá ser demonstrado em documento próprio, devidamente assinado pelo representante legal da empresa.</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r>
    </w:p>
    <w:p>
      <w:pPr>
        <w:pStyle w:val="normal1"/>
        <w:tabs>
          <w:tab w:val="clear" w:pos="720"/>
          <w:tab w:val="left" w:pos="851" w:leader="none"/>
          <w:tab w:val="left" w:pos="1107" w:leader="none"/>
        </w:tabs>
        <w:spacing w:lineRule="auto" w:line="360"/>
        <w:ind w:hanging="0" w:start="0" w:end="1688"/>
        <w:jc w:val="both"/>
        <w:rPr>
          <w:rFonts w:ascii="Arial" w:hAnsi="Arial" w:eastAsia="Arial" w:cs="Arial"/>
        </w:rPr>
      </w:pPr>
      <w:r>
        <w:rPr>
          <w:rFonts w:eastAsia="Arial" w:cs="Arial" w:ascii="Arial" w:hAnsi="Arial"/>
        </w:rPr>
        <w:t>LG =    _</w:t>
      </w:r>
      <w:r>
        <w:rPr>
          <w:rFonts w:eastAsia="Arial" w:cs="Arial" w:ascii="Arial" w:hAnsi="Arial"/>
          <w:u w:val="single"/>
        </w:rPr>
        <w:t>(ATIVO CIRCULANTE + REALIZÁVEL A LONGO PRAZO)</w:t>
      </w:r>
      <w:r>
        <w:rPr>
          <w:rFonts w:eastAsia="Arial" w:cs="Arial" w:ascii="Arial" w:hAnsi="Arial"/>
        </w:rPr>
        <w:t xml:space="preserve">_ </w:t>
      </w:r>
    </w:p>
    <w:p>
      <w:pPr>
        <w:pStyle w:val="normal1"/>
        <w:tabs>
          <w:tab w:val="clear" w:pos="720"/>
          <w:tab w:val="left" w:pos="851" w:leader="none"/>
          <w:tab w:val="left" w:pos="1107" w:leader="none"/>
        </w:tabs>
        <w:spacing w:lineRule="auto" w:line="360"/>
        <w:ind w:hanging="0" w:start="0" w:end="1688"/>
        <w:jc w:val="both"/>
        <w:rPr>
          <w:rFonts w:ascii="Arial" w:hAnsi="Arial" w:eastAsia="Arial" w:cs="Arial"/>
        </w:rPr>
      </w:pPr>
      <w:r>
        <w:rPr>
          <w:rFonts w:eastAsia="Arial" w:cs="Arial" w:ascii="Arial" w:hAnsi="Arial"/>
        </w:rPr>
        <w:t xml:space="preserve">            </w:t>
      </w:r>
      <w:r>
        <w:rPr>
          <w:rFonts w:eastAsia="Arial" w:cs="Arial" w:ascii="Arial" w:hAnsi="Arial"/>
        </w:rPr>
        <w:t>(PASSIVO CIRCULANTE + PASSIVO NÃO CIRCULANTE)</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t>cujo resultado deverá ser igual ou superior a 1,00</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r>
    </w:p>
    <w:p>
      <w:pPr>
        <w:pStyle w:val="normal1"/>
        <w:tabs>
          <w:tab w:val="clear" w:pos="720"/>
          <w:tab w:val="left" w:pos="851" w:leader="none"/>
          <w:tab w:val="left" w:pos="3503" w:leader="none"/>
        </w:tabs>
        <w:spacing w:lineRule="auto" w:line="360"/>
        <w:ind w:hanging="0" w:start="0"/>
        <w:jc w:val="both"/>
        <w:rPr>
          <w:rFonts w:ascii="Arial" w:hAnsi="Arial" w:eastAsia="Arial" w:cs="Arial"/>
        </w:rPr>
      </w:pPr>
      <w:r>
        <w:rPr>
          <w:rFonts w:eastAsia="Arial" w:cs="Arial" w:ascii="Arial" w:hAnsi="Arial"/>
        </w:rPr>
        <w:t>SG = ________________</w:t>
      </w:r>
      <w:r>
        <w:rPr>
          <w:rFonts w:eastAsia="Arial" w:cs="Arial" w:ascii="Arial" w:hAnsi="Arial"/>
          <w:u w:val="single"/>
        </w:rPr>
        <w:t>ATIVO TOTA</w:t>
      </w:r>
      <w:r>
        <w:rPr>
          <w:rFonts w:eastAsia="Arial" w:cs="Arial" w:ascii="Arial" w:hAnsi="Arial"/>
        </w:rPr>
        <w:t>L______________________</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t xml:space="preserve">           </w:t>
      </w:r>
      <w:r>
        <w:rPr>
          <w:rFonts w:eastAsia="Arial" w:cs="Arial" w:ascii="Arial" w:hAnsi="Arial"/>
        </w:rPr>
        <w:t>(PASSIVO CIRCULANTE + PASSIVO NÃO CIRCULANTE)</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t>cujo resultado deverá ser igual ou superior a 1,00</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r>
    </w:p>
    <w:p>
      <w:pPr>
        <w:pStyle w:val="normal1"/>
        <w:tabs>
          <w:tab w:val="clear" w:pos="720"/>
          <w:tab w:val="left" w:pos="851" w:leader="none"/>
          <w:tab w:val="left" w:pos="1107" w:leader="none"/>
        </w:tabs>
        <w:spacing w:lineRule="auto" w:line="360"/>
        <w:ind w:hanging="0" w:start="0" w:end="1688"/>
        <w:jc w:val="both"/>
        <w:rPr>
          <w:rFonts w:ascii="Arial" w:hAnsi="Arial" w:eastAsia="Arial" w:cs="Arial"/>
        </w:rPr>
      </w:pPr>
      <w:r>
        <w:rPr>
          <w:rFonts w:eastAsia="Arial" w:cs="Arial" w:ascii="Arial" w:hAnsi="Arial"/>
        </w:rPr>
        <w:t xml:space="preserve">LC =    </w:t>
      </w:r>
      <w:r>
        <w:rPr>
          <w:rFonts w:eastAsia="Arial" w:cs="Arial" w:ascii="Arial" w:hAnsi="Arial"/>
          <w:u w:val="single"/>
        </w:rPr>
        <w:tab/>
        <w:t>ATIVO CIRCULANTE</w:t>
      </w:r>
      <w:r>
        <w:rPr>
          <w:rFonts w:eastAsia="Arial" w:cs="Arial" w:ascii="Arial" w:hAnsi="Arial"/>
        </w:rPr>
        <w:t xml:space="preserve">__           </w:t>
      </w:r>
    </w:p>
    <w:p>
      <w:pPr>
        <w:pStyle w:val="normal1"/>
        <w:tabs>
          <w:tab w:val="clear" w:pos="720"/>
          <w:tab w:val="left" w:pos="851" w:leader="none"/>
          <w:tab w:val="left" w:pos="1107" w:leader="none"/>
        </w:tabs>
        <w:spacing w:lineRule="auto" w:line="360"/>
        <w:ind w:hanging="0" w:start="0" w:end="1688"/>
        <w:jc w:val="both"/>
        <w:rPr>
          <w:rFonts w:ascii="Arial" w:hAnsi="Arial" w:eastAsia="Arial" w:cs="Arial"/>
        </w:rPr>
      </w:pPr>
      <w:r>
        <w:rPr>
          <w:rFonts w:eastAsia="Arial" w:cs="Arial" w:ascii="Arial" w:hAnsi="Arial"/>
        </w:rPr>
        <w:t xml:space="preserve">             </w:t>
      </w:r>
      <w:r>
        <w:rPr>
          <w:rFonts w:eastAsia="Arial" w:cs="Arial" w:ascii="Arial" w:hAnsi="Arial"/>
        </w:rPr>
        <w:t>PASSIVO CIRCULANTE</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t>cujo resultado deverá ser igual ou superior a 1,00</w:t>
      </w:r>
    </w:p>
    <w:p>
      <w:pPr>
        <w:pStyle w:val="normal1"/>
        <w:tabs>
          <w:tab w:val="clear" w:pos="720"/>
          <w:tab w:val="left" w:pos="851" w:leader="none"/>
        </w:tabs>
        <w:spacing w:lineRule="auto" w:line="360"/>
        <w:ind w:hanging="0" w:start="0"/>
        <w:jc w:val="both"/>
        <w:rPr>
          <w:rFonts w:ascii="Arial" w:hAnsi="Arial" w:eastAsia="Arial" w:cs="Arial"/>
        </w:rPr>
      </w:pPr>
      <w:r>
        <w:rPr>
          <w:rFonts w:eastAsia="Arial" w:cs="Arial" w:ascii="Arial" w:hAnsi="Arial"/>
        </w:rPr>
      </w:r>
    </w:p>
    <w:p>
      <w:pPr>
        <w:pStyle w:val="normal1"/>
        <w:tabs>
          <w:tab w:val="clear" w:pos="720"/>
          <w:tab w:val="left" w:pos="851" w:leader="none"/>
        </w:tabs>
        <w:spacing w:lineRule="auto" w:line="360"/>
        <w:ind w:hanging="0" w:start="0" w:end="238"/>
        <w:jc w:val="both"/>
        <w:rPr>
          <w:rFonts w:ascii="Arial" w:hAnsi="Arial" w:eastAsia="Arial" w:cs="Arial"/>
        </w:rPr>
      </w:pPr>
      <w:r>
        <w:rPr>
          <w:rFonts w:eastAsia="Arial" w:cs="Arial" w:ascii="Arial" w:hAnsi="Arial"/>
        </w:rPr>
      </w:r>
    </w:p>
    <w:p>
      <w:pPr>
        <w:pStyle w:val="normal1"/>
        <w:numPr>
          <w:ilvl w:val="0"/>
          <w:numId w:val="24"/>
        </w:numPr>
        <w:tabs>
          <w:tab w:val="clear" w:pos="720"/>
          <w:tab w:val="left" w:pos="425" w:leader="none"/>
        </w:tabs>
        <w:spacing w:lineRule="auto" w:line="360"/>
        <w:ind w:hanging="0" w:start="0" w:end="243"/>
        <w:jc w:val="both"/>
        <w:rPr/>
      </w:pPr>
      <w:r>
        <w:rPr>
          <w:rFonts w:eastAsia="Arial" w:cs="Arial" w:ascii="Arial" w:hAnsi="Arial"/>
        </w:rPr>
        <w:t>As empresas, cadastradas ou não no SICAF, que apresentarem resultado inferior a 1(um) em qualquer dos índices de Liquidez Geral (LG), Solvência Geral (SG) e Liquidez Corrente (LC), deverão comprovar patrimônio líquido não inferior a 10% do valor estimado da contratação ou do item pertinente.</w:t>
      </w:r>
    </w:p>
    <w:p>
      <w:pPr>
        <w:pStyle w:val="normal1"/>
        <w:keepNext w:val="false"/>
        <w:keepLines w:val="false"/>
        <w:pageBreakBefore w:val="false"/>
        <w:widowControl w:val="false"/>
        <w:shd w:val="clear" w:fill="auto"/>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n)</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Certificado de Registro e regularidade da empresa (certidão Pessoa Jurídica) junto ao Conselho Regional de Engenharia e Agronomia (CREA) ou Conselho de Arquitetura e Urbanismo (CAU).</w:t>
      </w:r>
    </w:p>
    <w:p>
      <w:pPr>
        <w:pStyle w:val="normal1"/>
        <w:keepNext w:val="false"/>
        <w:keepLines w:val="false"/>
        <w:pageBreakBefore w:val="false"/>
        <w:widowControl w:val="false"/>
        <w:shd w:val="clear" w:fill="auto"/>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o)</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Certificado de regularidade do(s) Responsável(is) Técnico(s) (Certidão Pessoa Física) junto ao Conselho Regional de Engenharia e Agronomia (CREA) ou Conselho de Arquitetura e Urbanismo (CAU).</w:t>
      </w:r>
    </w:p>
    <w:p>
      <w:pPr>
        <w:pStyle w:val="normal1"/>
        <w:keepNext w:val="false"/>
        <w:keepLines w:val="false"/>
        <w:pageBreakBefore w:val="false"/>
        <w:widowControl w:val="false"/>
        <w:shd w:val="clear" w:fill="auto"/>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p)</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A empresa deverá comprovar em seu quadro permanente vinculação profissional através de carteira profissional de trabalho, Ficha de Registro de Empregado (FRE) ou contrato de prestação de serviços que demonstrem a identificação do profissional e, na hipótese do detentor do atestado ser o proprietário ou sócio da empresa, a comprovação se dará mediante a apresentação do contrato social em vigor. A empresa deverá possuir em seu quadro:</w:t>
      </w:r>
    </w:p>
    <w:p>
      <w:pPr>
        <w:pStyle w:val="normal1"/>
        <w:keepNext w:val="false"/>
        <w:keepLines w:val="false"/>
        <w:pageBreakBefore w:val="false"/>
        <w:widowControl w:val="false"/>
        <w:shd w:val="clear" w:fill="auto"/>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01 (um) Engenheiro Civil ou </w:t>
      </w:r>
      <w:r>
        <w:rPr>
          <w:rFonts w:eastAsia="Arial" w:cs="Arial" w:ascii="Arial" w:hAnsi="Arial"/>
        </w:rPr>
        <w:t>arquiteto registrados no CREA ou CAU</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w:t>
      </w:r>
    </w:p>
    <w:p>
      <w:pPr>
        <w:pStyle w:val="normal1"/>
        <w:keepNext w:val="false"/>
        <w:keepLines w:val="false"/>
        <w:pageBreakBefore w:val="false"/>
        <w:widowControl w:val="false"/>
        <w:shd w:val="clear" w:fill="auto"/>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01 (um) Encarregado de Obras;</w:t>
      </w:r>
    </w:p>
    <w:p>
      <w:pPr>
        <w:pStyle w:val="normal1"/>
        <w:keepNext w:val="false"/>
        <w:keepLines w:val="false"/>
        <w:pageBreakBefore w:val="false"/>
        <w:widowControl w:val="false"/>
        <w:shd w:val="clear" w:fill="auto"/>
        <w:spacing w:lineRule="auto" w:line="360" w:before="0" w:after="0"/>
        <w:ind w:hanging="0" w:start="0" w:end="243"/>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q)</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Atestado de capacidade técnico-operacional, devidamente registrado no CREA/CAU da região onde os serviços foram executados, acompanhado da respectiva Certidão de Acervo Técnico – CAT, expedida por esses Conselhos, que comprove que a licitante tenha executado, para órgão ou entidade da administração pública direta ou indireta, federal, estadual, municipal ou do Distrito Federal, ou ainda para empresa privada, obras/serviços de características técnicas similares as do objeto da presente licitação, não se admitindo atestado de fiscalização da execução de obras/serviços, cujas parcelas de maior relevância são:</w:t>
      </w:r>
    </w:p>
    <w:p>
      <w:pPr>
        <w:pStyle w:val="normal1"/>
        <w:tabs>
          <w:tab w:val="clear" w:pos="720"/>
          <w:tab w:val="left" w:pos="992" w:leader="none"/>
        </w:tabs>
        <w:spacing w:lineRule="auto" w:line="360"/>
        <w:ind w:hanging="0" w:start="0" w:end="830"/>
        <w:jc w:val="both"/>
        <w:rPr>
          <w:rFonts w:ascii="Arial" w:hAnsi="Arial" w:eastAsia="Arial" w:cs="Arial"/>
        </w:rPr>
      </w:pPr>
      <w:r>
        <w:rPr>
          <w:rFonts w:eastAsia="Arial" w:cs="Arial" w:ascii="Arial" w:hAnsi="Arial"/>
        </w:rPr>
      </w:r>
    </w:p>
    <w:tbl>
      <w:tblPr>
        <w:tblStyle w:val="Table2"/>
        <w:tblW w:w="7888" w:type="dxa"/>
        <w:jc w:val="start"/>
        <w:tblInd w:w="699" w:type="dxa"/>
        <w:tblLayout w:type="fixed"/>
        <w:tblCellMar>
          <w:top w:w="0" w:type="dxa"/>
          <w:start w:w="108" w:type="dxa"/>
          <w:bottom w:w="0" w:type="dxa"/>
          <w:end w:w="108" w:type="dxa"/>
        </w:tblCellMar>
        <w:tblLook w:val="0000"/>
      </w:tblPr>
      <w:tblGrid>
        <w:gridCol w:w="974"/>
        <w:gridCol w:w="4239"/>
        <w:gridCol w:w="975"/>
        <w:gridCol w:w="1700"/>
      </w:tblGrid>
      <w:tr>
        <w:trPr>
          <w:trHeight w:val="329" w:hRule="atLeast"/>
        </w:trPr>
        <w:tc>
          <w:tcPr>
            <w:tcW w:w="974"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b/>
                <w:bCs/>
              </w:rPr>
              <w:t>ITEM</w:t>
            </w:r>
          </w:p>
        </w:tc>
        <w:tc>
          <w:tcPr>
            <w:tcW w:w="4239"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b/>
                <w:bCs/>
              </w:rPr>
              <w:t>DESCRIÇÃO DOS SERVIÇOS</w:t>
            </w:r>
          </w:p>
        </w:tc>
        <w:tc>
          <w:tcPr>
            <w:tcW w:w="975"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b/>
                <w:bCs/>
              </w:rPr>
              <w:t>UNID.</w:t>
            </w:r>
          </w:p>
        </w:tc>
        <w:tc>
          <w:tcPr>
            <w:tcW w:w="1700" w:type="dxa"/>
            <w:tcBorders>
              <w:top w:val="single" w:sz="4" w:space="0" w:color="000000"/>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b/>
                <w:bCs/>
              </w:rPr>
              <w:t>QTDE</w:t>
            </w:r>
          </w:p>
        </w:tc>
      </w:tr>
      <w:tr>
        <w:trPr>
          <w:trHeight w:val="300" w:hRule="atLeast"/>
        </w:trPr>
        <w:tc>
          <w:tcPr>
            <w:tcW w:w="974"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1</w:t>
            </w:r>
          </w:p>
        </w:tc>
        <w:tc>
          <w:tcPr>
            <w:tcW w:w="4239"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240"/>
              <w:jc w:val="both"/>
              <w:rPr>
                <w:rFonts w:ascii="Calibri" w:hAnsi="Calibri" w:eastAsia="Calibri" w:cs="Calibri"/>
              </w:rPr>
            </w:pPr>
            <w:r>
              <w:rPr>
                <w:rFonts w:eastAsia="Arial" w:cs="Arial" w:ascii="Arial" w:hAnsi="Arial"/>
              </w:rPr>
              <w:t>Execução de pavimento em piso intertravado com bloco sextavado – item 4.7 – orçamento.</w:t>
            </w:r>
          </w:p>
        </w:tc>
        <w:tc>
          <w:tcPr>
            <w:tcW w:w="975"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m²</w:t>
            </w:r>
          </w:p>
        </w:tc>
        <w:tc>
          <w:tcPr>
            <w:tcW w:w="1700" w:type="dxa"/>
            <w:tcBorders>
              <w:top w:val="single" w:sz="4" w:space="0" w:color="000000"/>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jc w:val="center"/>
              <w:rPr>
                <w:rFonts w:ascii="Calibri" w:hAnsi="Calibri" w:eastAsia="Calibri" w:cs="Calibri"/>
              </w:rPr>
            </w:pPr>
            <w:r>
              <w:rPr>
                <w:rFonts w:eastAsia="Arial" w:cs="Arial" w:ascii="Arial" w:hAnsi="Arial"/>
              </w:rPr>
              <w:t>8.960,00</w:t>
            </w:r>
          </w:p>
        </w:tc>
      </w:tr>
      <w:tr>
        <w:trPr>
          <w:trHeight w:val="400" w:hRule="atLeast"/>
        </w:trPr>
        <w:tc>
          <w:tcPr>
            <w:tcW w:w="974"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2</w:t>
            </w:r>
          </w:p>
        </w:tc>
        <w:tc>
          <w:tcPr>
            <w:tcW w:w="4239"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240"/>
              <w:jc w:val="both"/>
              <w:rPr>
                <w:rFonts w:ascii="Arial" w:hAnsi="Arial" w:eastAsia="Arial" w:cs="Arial"/>
              </w:rPr>
            </w:pPr>
            <w:r>
              <w:rPr>
                <w:rFonts w:eastAsia="Arial" w:cs="Arial" w:ascii="Arial" w:hAnsi="Arial"/>
              </w:rPr>
              <w:t>Execução de meio fio em concreto pré fabricado.</w:t>
            </w:r>
          </w:p>
        </w:tc>
        <w:tc>
          <w:tcPr>
            <w:tcW w:w="975"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jc w:val="center"/>
              <w:rPr>
                <w:rFonts w:ascii="Calibri" w:hAnsi="Calibri" w:eastAsia="Calibri" w:cs="Calibri"/>
              </w:rPr>
            </w:pPr>
            <w:r>
              <w:rPr>
                <w:rFonts w:eastAsia="Arial" w:cs="Arial" w:ascii="Arial" w:hAnsi="Arial"/>
              </w:rPr>
              <w:t>m</w:t>
            </w:r>
          </w:p>
        </w:tc>
        <w:tc>
          <w:tcPr>
            <w:tcW w:w="1700" w:type="dxa"/>
            <w:tcBorders>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jc w:val="center"/>
              <w:rPr>
                <w:rFonts w:ascii="Calibri" w:hAnsi="Calibri" w:eastAsia="Calibri" w:cs="Calibri"/>
              </w:rPr>
            </w:pPr>
            <w:r>
              <w:rPr>
                <w:rFonts w:eastAsia="Arial" w:cs="Arial" w:ascii="Arial" w:hAnsi="Arial"/>
              </w:rPr>
              <w:t>5.200,00</w:t>
            </w:r>
          </w:p>
        </w:tc>
      </w:tr>
      <w:tr>
        <w:trPr>
          <w:trHeight w:val="400" w:hRule="atLeast"/>
        </w:trPr>
        <w:tc>
          <w:tcPr>
            <w:tcW w:w="974"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3</w:t>
            </w:r>
          </w:p>
        </w:tc>
        <w:tc>
          <w:tcPr>
            <w:tcW w:w="4239"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240"/>
              <w:jc w:val="both"/>
              <w:rPr>
                <w:rFonts w:ascii="Calibri" w:hAnsi="Calibri" w:eastAsia="Calibri" w:cs="Calibri"/>
              </w:rPr>
            </w:pPr>
            <w:r>
              <w:rPr>
                <w:rFonts w:eastAsia="Arial" w:cs="Arial" w:ascii="Arial" w:hAnsi="Arial"/>
              </w:rPr>
              <w:t>Execução e compactação de base com brita graduada.</w:t>
            </w:r>
          </w:p>
        </w:tc>
        <w:tc>
          <w:tcPr>
            <w:tcW w:w="975"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m³</w:t>
            </w:r>
          </w:p>
        </w:tc>
        <w:tc>
          <w:tcPr>
            <w:tcW w:w="1700" w:type="dxa"/>
            <w:tcBorders>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jc w:val="center"/>
              <w:rPr>
                <w:rFonts w:ascii="Calibri" w:hAnsi="Calibri" w:eastAsia="Calibri" w:cs="Calibri"/>
              </w:rPr>
            </w:pPr>
            <w:r>
              <w:rPr>
                <w:rFonts w:eastAsia="Arial" w:cs="Arial" w:ascii="Arial" w:hAnsi="Arial"/>
              </w:rPr>
              <w:t>1.344,00</w:t>
            </w:r>
          </w:p>
        </w:tc>
      </w:tr>
      <w:tr>
        <w:trPr>
          <w:trHeight w:val="400" w:hRule="atLeast"/>
        </w:trPr>
        <w:tc>
          <w:tcPr>
            <w:tcW w:w="974"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4</w:t>
            </w:r>
          </w:p>
        </w:tc>
        <w:tc>
          <w:tcPr>
            <w:tcW w:w="4239"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240"/>
              <w:ind w:hanging="0" w:start="0"/>
              <w:jc w:val="both"/>
              <w:rPr>
                <w:rFonts w:ascii="Calibri" w:hAnsi="Calibri" w:eastAsia="Calibri" w:cs="Calibri"/>
              </w:rPr>
            </w:pPr>
            <w:r>
              <w:rPr>
                <w:rFonts w:eastAsia="Arial" w:cs="Arial" w:ascii="Arial" w:hAnsi="Arial"/>
              </w:rPr>
              <w:t>Galeria pluvial tubo de concreto 400 mm.</w:t>
            </w:r>
          </w:p>
        </w:tc>
        <w:tc>
          <w:tcPr>
            <w:tcW w:w="975"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m</w:t>
            </w:r>
          </w:p>
        </w:tc>
        <w:tc>
          <w:tcPr>
            <w:tcW w:w="1700" w:type="dxa"/>
            <w:tcBorders>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jc w:val="center"/>
              <w:rPr>
                <w:rFonts w:ascii="Calibri" w:hAnsi="Calibri" w:eastAsia="Calibri" w:cs="Calibri"/>
              </w:rPr>
            </w:pPr>
            <w:r>
              <w:rPr>
                <w:rFonts w:eastAsia="Arial" w:cs="Arial" w:ascii="Arial" w:hAnsi="Arial"/>
              </w:rPr>
              <w:t>1.200,00</w:t>
            </w:r>
          </w:p>
        </w:tc>
      </w:tr>
      <w:tr>
        <w:trPr>
          <w:trHeight w:val="400" w:hRule="atLeast"/>
        </w:trPr>
        <w:tc>
          <w:tcPr>
            <w:tcW w:w="974"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5</w:t>
            </w:r>
          </w:p>
        </w:tc>
        <w:tc>
          <w:tcPr>
            <w:tcW w:w="4239"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240"/>
              <w:jc w:val="both"/>
              <w:rPr>
                <w:rFonts w:ascii="Calibri" w:hAnsi="Calibri" w:eastAsia="Calibri" w:cs="Calibri"/>
              </w:rPr>
            </w:pPr>
            <w:r>
              <w:rPr>
                <w:rFonts w:eastAsia="Arial" w:cs="Arial" w:ascii="Arial" w:hAnsi="Arial"/>
              </w:rPr>
              <w:t>Caixa de captação pluvial parede de bloco.</w:t>
            </w:r>
          </w:p>
        </w:tc>
        <w:tc>
          <w:tcPr>
            <w:tcW w:w="975" w:type="dxa"/>
            <w:tcBorders>
              <w:start w:val="single" w:sz="4" w:space="0" w:color="000000"/>
              <w:bottom w:val="single" w:sz="4" w:space="0" w:color="000000"/>
            </w:tcBorders>
            <w:vAlign w:val="center"/>
          </w:tcPr>
          <w:p>
            <w:pPr>
              <w:pStyle w:val="normal1"/>
              <w:widowControl/>
              <w:tabs>
                <w:tab w:val="clear" w:pos="720"/>
                <w:tab w:val="left" w:pos="709" w:leader="none"/>
              </w:tabs>
              <w:spacing w:lineRule="auto" w:line="360"/>
              <w:ind w:hanging="0" w:start="0"/>
              <w:jc w:val="center"/>
              <w:rPr>
                <w:rFonts w:ascii="Calibri" w:hAnsi="Calibri" w:eastAsia="Calibri" w:cs="Calibri"/>
              </w:rPr>
            </w:pPr>
            <w:r>
              <w:rPr>
                <w:rFonts w:eastAsia="Arial" w:cs="Arial" w:ascii="Arial" w:hAnsi="Arial"/>
              </w:rPr>
              <w:t>unidade</w:t>
            </w:r>
          </w:p>
        </w:tc>
        <w:tc>
          <w:tcPr>
            <w:tcW w:w="1700" w:type="dxa"/>
            <w:tcBorders>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jc w:val="center"/>
              <w:rPr>
                <w:rFonts w:ascii="Calibri" w:hAnsi="Calibri" w:eastAsia="Calibri" w:cs="Calibri"/>
              </w:rPr>
            </w:pPr>
            <w:r>
              <w:rPr>
                <w:rFonts w:eastAsia="Arial" w:cs="Arial" w:ascii="Arial" w:hAnsi="Arial"/>
              </w:rPr>
              <w:t>40,00</w:t>
            </w:r>
          </w:p>
        </w:tc>
      </w:tr>
    </w:tbl>
    <w:p>
      <w:pPr>
        <w:pStyle w:val="normal1"/>
        <w:keepNext w:val="false"/>
        <w:keepLines w:val="false"/>
        <w:pageBreakBefore w:val="false"/>
        <w:widowControl w:val="false"/>
        <w:shd w:val="clear" w:fill="auto"/>
        <w:spacing w:lineRule="auto" w:line="360" w:before="0" w:after="0"/>
        <w:ind w:hanging="0" w:start="0" w:end="250"/>
        <w:jc w:val="start"/>
        <w:rPr>
          <w:rFonts w:ascii="Arial" w:hAnsi="Arial" w:eastAsia="Arial" w:cs="Arial"/>
          <w:b/>
          <w:bCs/>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r>
    </w:p>
    <w:p>
      <w:pPr>
        <w:pStyle w:val="normal1"/>
        <w:keepNext w:val="false"/>
        <w:keepLines w:val="false"/>
        <w:pageBreakBefore w:val="false"/>
        <w:widowControl w:val="false"/>
        <w:shd w:val="clear" w:fill="auto"/>
        <w:spacing w:lineRule="auto" w:line="360" w:before="0" w:after="0"/>
        <w:ind w:hanging="0" w:start="0" w:end="250"/>
        <w:jc w:val="start"/>
        <w:rPr>
          <w:rFonts w:ascii="Arial" w:hAnsi="Arial" w:eastAsia="Arial" w:cs="Arial"/>
          <w:b/>
          <w:bCs/>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r)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Atestado de capacidade técnica que comprove que o Engenheiro Responsável técnico pela obra tenha executado obras/serviços de características técnicas similares às do objeto da presente licitação.</w:t>
      </w:r>
    </w:p>
    <w:p>
      <w:pPr>
        <w:pStyle w:val="normal1"/>
        <w:keepNext w:val="false"/>
        <w:keepLines w:val="false"/>
        <w:pageBreakBefore w:val="false"/>
        <w:widowControl w:val="false"/>
        <w:numPr>
          <w:ilvl w:val="1"/>
          <w:numId w:val="22"/>
        </w:numPr>
        <w:shd w:val="clear" w:fill="auto"/>
        <w:tabs>
          <w:tab w:val="clear" w:pos="720"/>
          <w:tab w:val="left" w:pos="622"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9.6.</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Os comprovantes exigidos, quando for o caso, deverão apresentar prazo de validade até a data limite fixada para a apresentação das propostas, nos termos do subitem 6.1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deste Edital. Não constando a vigência, será considerado o prazo de 90 (noventa) dias da data da emissão.</w:t>
      </w:r>
    </w:p>
    <w:p>
      <w:pPr>
        <w:pStyle w:val="normal1"/>
        <w:keepNext w:val="false"/>
        <w:keepLines w:val="false"/>
        <w:pageBreakBefore w:val="false"/>
        <w:widowControl w:val="false"/>
        <w:numPr>
          <w:ilvl w:val="1"/>
          <w:numId w:val="22"/>
        </w:numPr>
        <w:shd w:val="clear" w:fill="auto"/>
        <w:tabs>
          <w:tab w:val="clear" w:pos="720"/>
          <w:tab w:val="left" w:pos="61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9.7.</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Sob pena de inabilitação, nos documentos a que se refere o subitem 9.6 deste edital deverão constar o nome/razão social do proponente, o número do CNPJ e o respectivo endereço, observado que se o proponente for:</w:t>
      </w:r>
    </w:p>
    <w:p>
      <w:pPr>
        <w:pStyle w:val="normal1"/>
        <w:keepNext w:val="false"/>
        <w:keepLines w:val="false"/>
        <w:pageBreakBefore w:val="false"/>
        <w:widowControl w:val="false"/>
        <w:numPr>
          <w:ilvl w:val="0"/>
          <w:numId w:val="20"/>
        </w:numPr>
        <w:shd w:val="clear" w:fill="auto"/>
        <w:tabs>
          <w:tab w:val="clear" w:pos="720"/>
          <w:tab w:val="left" w:pos="49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matriz, todos os documentos deverão estar em nome da matriz;</w:t>
      </w:r>
    </w:p>
    <w:p>
      <w:pPr>
        <w:pStyle w:val="normal1"/>
        <w:keepNext w:val="false"/>
        <w:keepLines w:val="false"/>
        <w:pageBreakBefore w:val="false"/>
        <w:widowControl w:val="false"/>
        <w:numPr>
          <w:ilvl w:val="0"/>
          <w:numId w:val="20"/>
        </w:numPr>
        <w:shd w:val="clear" w:fill="auto"/>
        <w:tabs>
          <w:tab w:val="clear" w:pos="720"/>
          <w:tab w:val="left" w:pos="49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filial, todos os documentos deverão estar em nome da filial;</w:t>
      </w:r>
    </w:p>
    <w:p>
      <w:pPr>
        <w:pStyle w:val="normal1"/>
        <w:keepNext w:val="false"/>
        <w:keepLines w:val="false"/>
        <w:pageBreakBefore w:val="false"/>
        <w:widowControl w:val="false"/>
        <w:numPr>
          <w:ilvl w:val="0"/>
          <w:numId w:val="20"/>
        </w:numPr>
        <w:shd w:val="clear" w:fill="auto"/>
        <w:tabs>
          <w:tab w:val="clear" w:pos="720"/>
          <w:tab w:val="left" w:pos="55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matriz, e a execução for realizado pela filial, os documentos exigidos neste Edital deverão ser apresentados em nome da matriz e da filial, simultaneamente, com exceção dos documentos conjuntos ou consolidados, desde que devidamente comprovada a centralização.</w:t>
      </w:r>
    </w:p>
    <w:p>
      <w:pPr>
        <w:pStyle w:val="normal1"/>
        <w:keepNext w:val="false"/>
        <w:keepLines w:val="false"/>
        <w:pageBreakBefore w:val="false"/>
        <w:widowControl w:val="false"/>
        <w:numPr>
          <w:ilvl w:val="1"/>
          <w:numId w:val="22"/>
        </w:numPr>
        <w:shd w:val="clear" w:fill="auto"/>
        <w:tabs>
          <w:tab w:val="clear" w:pos="720"/>
          <w:tab w:val="left" w:pos="6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9.8.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proponente poderá apresentar os comprovantes de regularidade relativa à Seguridade Social – INSS e ao Fundo de Garantia por Tempo de Serviço - FGTS centralizados junto à matriz, desde que apresente comprovante da centralização do recolhimento das contribuições e a certidão em que consta o CNPJ da entidade centralizadora.</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 JULGAMENTO DAS PROPOSTAS E HABILITAÇÃO</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10.1.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Agente de Contratação efetuará o julgamento das propostas pelo critério de </w:t>
      </w:r>
      <w:r>
        <w:rPr>
          <w:rFonts w:eastAsia="Arial" w:cs="Arial" w:ascii="Arial" w:hAnsi="Arial"/>
          <w:b/>
          <w:bCs/>
          <w:i w:val="false"/>
          <w:iCs w:val="false"/>
          <w:caps w:val="false"/>
          <w:smallCaps w:val="false"/>
          <w:strike w:val="false"/>
          <w:dstrike w:val="false"/>
          <w:color w:val="000000"/>
          <w:position w:val="0"/>
          <w:sz w:val="22"/>
          <w:u w:val="none"/>
          <w:vertAlign w:val="baseline"/>
        </w:rPr>
        <w:t>MENOR PREÇO GLOBAL</w:t>
      </w:r>
    </w:p>
    <w:p>
      <w:pPr>
        <w:pStyle w:val="normal1"/>
        <w:keepNext w:val="false"/>
        <w:keepLines w:val="false"/>
        <w:pageBreakBefore w:val="false"/>
        <w:widowControl w:val="false"/>
        <w:numPr>
          <w:ilvl w:val="1"/>
          <w:numId w:val="25"/>
        </w:numPr>
        <w:shd w:val="clear" w:fill="auto"/>
        <w:tabs>
          <w:tab w:val="clear" w:pos="720"/>
          <w:tab w:val="left" w:pos="75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10.2.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licitação será processada e julgada em consonância com a legislação constante no preâmbulo deste Edital e com os procedimentos previstos na Lei Complementar n° 123/06 e alterações posteriores.</w:t>
      </w:r>
    </w:p>
    <w:p>
      <w:pPr>
        <w:pStyle w:val="normal1"/>
        <w:keepNext w:val="false"/>
        <w:keepLines w:val="false"/>
        <w:pageBreakBefore w:val="false"/>
        <w:widowControl w:val="false"/>
        <w:numPr>
          <w:ilvl w:val="1"/>
          <w:numId w:val="25"/>
        </w:numPr>
        <w:shd w:val="clear" w:fill="auto"/>
        <w:tabs>
          <w:tab w:val="clear" w:pos="720"/>
          <w:tab w:val="left" w:pos="8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10.3.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Encerrada a etapa de lances, o Agente de Contratação encaminhará, pelo sistema eletrônico, contraproposta diretamente ao proponente que tenha apresentado o melhor preço, para que seja obtida melhor proposta.</w:t>
      </w:r>
    </w:p>
    <w:p>
      <w:pPr>
        <w:pStyle w:val="normal1"/>
        <w:keepNext w:val="false"/>
        <w:keepLines w:val="false"/>
        <w:pageBreakBefore w:val="false"/>
        <w:widowControl w:val="false"/>
        <w:numPr>
          <w:ilvl w:val="2"/>
          <w:numId w:val="25"/>
        </w:numPr>
        <w:shd w:val="clear" w:fill="auto"/>
        <w:tabs>
          <w:tab w:val="clear" w:pos="720"/>
          <w:tab w:val="left" w:pos="90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10.4.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proponente deverá se manifestar até o prazo para apresentação da proposta, nos termos do subitem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7.2 do edital.</w:t>
      </w:r>
    </w:p>
    <w:p>
      <w:pPr>
        <w:pStyle w:val="normal1"/>
        <w:keepNext w:val="false"/>
        <w:keepLines w:val="false"/>
        <w:pageBreakBefore w:val="false"/>
        <w:widowControl w:val="false"/>
        <w:numPr>
          <w:ilvl w:val="1"/>
          <w:numId w:val="25"/>
        </w:numPr>
        <w:shd w:val="clear" w:fill="auto"/>
        <w:tabs>
          <w:tab w:val="clear" w:pos="720"/>
          <w:tab w:val="left" w:pos="786"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10.5.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Os preços ofertados, tanto na proposta inicial quanto na etapa de lances, serão de exclusiva responsabilidade do proponente, não lhe assistindo o direito de pleitear qualquer alteração sob alegação de erro, omissão ou qualquer outro pretexto.</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10.6.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O Agente de Contratação irá decidir sobre a aceitação da proposta, observados prazos para execução, especificações técnicas e demais condições definidas neste Edital, e verificará a habilitação do proponente.</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10.7.</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Após encerrada a etapa competitiva, e verificada a ausência da proposta de preços e dos documentos de habilitação, conforme o subitem 7.2 e 9.1, será considerado como desistência do lance ofertado, sujeitando-se o proponente desistente às penalidades constantes no </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item 20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do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Edital.</w:t>
      </w:r>
    </w:p>
    <w:p>
      <w:pPr>
        <w:pStyle w:val="normal1"/>
        <w:keepNext w:val="false"/>
        <w:keepLines w:val="false"/>
        <w:pageBreakBefore w:val="false"/>
        <w:widowControl w:val="false"/>
        <w:numPr>
          <w:ilvl w:val="1"/>
          <w:numId w:val="25"/>
        </w:numPr>
        <w:shd w:val="clear" w:fill="auto"/>
        <w:tabs>
          <w:tab w:val="clear" w:pos="720"/>
          <w:tab w:val="left" w:pos="730"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10.8.</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Se a proposta não atender às especificações técnicas e às condições mínimas de habilitação, o Agente de Contratação examinará a proposta subsequente, verificando a sua aceitabilidade e procedendo à sua habilitação, na ordem de classificação, e assim sucessivamente, até a apuração de uma proposta que atenda ao Edital, sendo o respectivo proponente declarado vencedor.</w:t>
      </w:r>
    </w:p>
    <w:p>
      <w:pPr>
        <w:pStyle w:val="normal1"/>
        <w:keepNext w:val="false"/>
        <w:keepLines w:val="false"/>
        <w:pageBreakBefore w:val="false"/>
        <w:widowControl w:val="false"/>
        <w:numPr>
          <w:ilvl w:val="1"/>
          <w:numId w:val="25"/>
        </w:numPr>
        <w:shd w:val="clear" w:fill="auto"/>
        <w:tabs>
          <w:tab w:val="clear" w:pos="720"/>
          <w:tab w:val="left" w:pos="80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10.9.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O representante legal do proponente que subscrever os documentos apresentados deve estar</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devidamente identificado no processo, apresentando documento de identidade.</w:t>
      </w:r>
    </w:p>
    <w:p>
      <w:pPr>
        <w:pStyle w:val="normal1"/>
        <w:keepNext w:val="false"/>
        <w:keepLines w:val="false"/>
        <w:pageBreakBefore w:val="false"/>
        <w:widowControl w:val="false"/>
        <w:numPr>
          <w:ilvl w:val="2"/>
          <w:numId w:val="25"/>
        </w:numPr>
        <w:shd w:val="clear" w:fill="auto"/>
        <w:tabs>
          <w:tab w:val="clear" w:pos="720"/>
          <w:tab w:val="left" w:pos="9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10.10.</w:t>
      </w:r>
      <w:r>
        <w:rPr>
          <w:rFonts w:eastAsia="Arial" w:cs="Arial" w:ascii="Arial" w:hAnsi="Arial"/>
          <w:b/>
          <w:bCs/>
          <w:i w:val="false"/>
          <w:iCs w:val="false"/>
          <w:caps w:val="false"/>
          <w:smallCaps w:val="false"/>
          <w:strike w:val="false"/>
          <w:dstrike w:val="false"/>
          <w:color w:val="000000"/>
          <w:position w:val="0"/>
          <w:sz w:val="22"/>
          <w:u w:val="singl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Nenhuma pessoa, ainda que munida de procuração, poderá representar mais de uma empresa no(s)</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mesmo(s) item(ns)/lote(s) deste processo, sob pena de exclusão sumária de ambos os proponentes</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representados.</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10.11. Serão desclassificadas as propostas:</w:t>
      </w:r>
    </w:p>
    <w:p>
      <w:pPr>
        <w:pStyle w:val="normal1"/>
        <w:keepNext w:val="false"/>
        <w:keepLines w:val="false"/>
        <w:pageBreakBefore w:val="false"/>
        <w:widowControl w:val="false"/>
        <w:numPr>
          <w:ilvl w:val="0"/>
          <w:numId w:val="27"/>
        </w:numPr>
        <w:shd w:val="clear" w:fill="auto"/>
        <w:tabs>
          <w:tab w:val="clear" w:pos="720"/>
          <w:tab w:val="left" w:pos="49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zCs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que não atenderem às especificações/descrição do objeto desta licitação;</w:t>
      </w:r>
    </w:p>
    <w:p>
      <w:pPr>
        <w:pStyle w:val="normal1"/>
        <w:keepNext w:val="false"/>
        <w:keepLines w:val="false"/>
        <w:pageBreakBefore w:val="false"/>
        <w:widowControl w:val="false"/>
        <w:numPr>
          <w:ilvl w:val="0"/>
          <w:numId w:val="27"/>
        </w:numPr>
        <w:shd w:val="clear" w:fill="auto"/>
        <w:tabs>
          <w:tab w:val="clear" w:pos="720"/>
          <w:tab w:val="left" w:pos="51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zCs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que forem omissas ou se apresentarem incompletas ou não informarem as características do bem cotado, impedindo sua identificação com o item licitado;</w:t>
      </w:r>
    </w:p>
    <w:p>
      <w:pPr>
        <w:pStyle w:val="normal1"/>
        <w:keepNext w:val="false"/>
        <w:keepLines w:val="false"/>
        <w:pageBreakBefore w:val="false"/>
        <w:widowControl w:val="false"/>
        <w:numPr>
          <w:ilvl w:val="0"/>
          <w:numId w:val="27"/>
        </w:numPr>
        <w:shd w:val="clear" w:fill="auto"/>
        <w:tabs>
          <w:tab w:val="clear" w:pos="720"/>
          <w:tab w:val="left" w:pos="478"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zCs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que conflitarem com a legislação em vigor;</w:t>
      </w:r>
    </w:p>
    <w:p>
      <w:pPr>
        <w:pStyle w:val="normal1"/>
        <w:keepNext w:val="false"/>
        <w:keepLines w:val="false"/>
        <w:pageBreakBefore w:val="false"/>
        <w:widowControl w:val="false"/>
        <w:numPr>
          <w:ilvl w:val="0"/>
          <w:numId w:val="27"/>
        </w:numPr>
        <w:shd w:val="clear" w:fill="auto"/>
        <w:tabs>
          <w:tab w:val="clear" w:pos="720"/>
          <w:tab w:val="left" w:pos="49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zCs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que deixarem de atender aos requisitos estabelecidos nos itens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6, 7 ou 9 deste Edital;</w:t>
      </w:r>
    </w:p>
    <w:p>
      <w:pPr>
        <w:pStyle w:val="normal1"/>
        <w:keepNext w:val="false"/>
        <w:keepLines w:val="false"/>
        <w:pageBreakBefore w:val="false"/>
        <w:widowControl w:val="false"/>
        <w:numPr>
          <w:ilvl w:val="0"/>
          <w:numId w:val="27"/>
        </w:numPr>
        <w:shd w:val="clear" w:fill="auto"/>
        <w:tabs>
          <w:tab w:val="clear" w:pos="720"/>
          <w:tab w:val="left" w:pos="49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zCs w:val="22"/>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com valores unitários ou globais superiores ao limite estabelecido ou com preços manifestamente inexequíveis, assim considerados aqueles que não venham a ter demonstrado sua viabilidade através de documentação que comprove que os custos dos insumos são coerentes com os de mercado e que os coeficientes de produtividade são compatíveis com a execução do objeto do contrato.</w:t>
      </w:r>
    </w:p>
    <w:p>
      <w:pPr>
        <w:pStyle w:val="normal1"/>
        <w:keepNext w:val="false"/>
        <w:keepLines w:val="false"/>
        <w:pageBreakBefore w:val="false"/>
        <w:widowControl w:val="false"/>
        <w:numPr>
          <w:ilvl w:val="0"/>
          <w:numId w:val="27"/>
        </w:numPr>
        <w:shd w:val="clear" w:fill="auto"/>
        <w:tabs>
          <w:tab w:val="clear" w:pos="720"/>
          <w:tab w:val="left" w:pos="494" w:leader="none"/>
        </w:tabs>
        <w:spacing w:lineRule="auto" w:line="360" w:before="0" w:after="0"/>
        <w:ind w:hanging="0" w:start="0" w:end="250"/>
        <w:jc w:val="both"/>
        <w:rPr>
          <w:rFonts w:ascii="Arial" w:hAnsi="Arial" w:eastAsia="Arial" w:cs="Arial"/>
        </w:rPr>
      </w:pPr>
      <w:r>
        <w:rPr>
          <w:rFonts w:eastAsia="Arial" w:cs="Arial" w:ascii="Arial" w:hAnsi="Arial"/>
        </w:rPr>
        <w:t>que identifique o licitante, por meio de marca ou qualquer outro descritivo.</w:t>
      </w:r>
    </w:p>
    <w:p>
      <w:pPr>
        <w:pStyle w:val="normal1"/>
        <w:keepNext w:val="false"/>
        <w:keepLines w:val="false"/>
        <w:pageBreakBefore w:val="false"/>
        <w:widowControl w:val="false"/>
        <w:numPr>
          <w:ilvl w:val="1"/>
          <w:numId w:val="25"/>
        </w:numPr>
        <w:shd w:val="clear" w:fill="auto"/>
        <w:tabs>
          <w:tab w:val="clear" w:pos="720"/>
          <w:tab w:val="left" w:pos="8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10.12.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Se o proponente vencedor, convocado dentro do prazo de validade da sua proposta, não apresentar situação regular, estará sujeito às penalidades previstas no </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item 20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deste Edital.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Neste caso, o Agente de Contratação examinará as ofertas subsequentes, e a habilitação dos proponentes, observada a ordem de classificação, até a apuração de uma que atenda ao Edital, sendo o respectivo proponente convocado para negociar redução do preço ofertado.</w:t>
      </w:r>
    </w:p>
    <w:p>
      <w:pPr>
        <w:pStyle w:val="normal1"/>
        <w:keepNext w:val="false"/>
        <w:keepLines w:val="false"/>
        <w:pageBreakBefore w:val="false"/>
        <w:widowControl w:val="false"/>
        <w:numPr>
          <w:ilvl w:val="1"/>
          <w:numId w:val="25"/>
        </w:numPr>
        <w:shd w:val="clear" w:fill="auto"/>
        <w:tabs>
          <w:tab w:val="clear" w:pos="720"/>
          <w:tab w:val="left" w:pos="8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10.13.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Decorrido o prazo de validade das propostas, sem convocação para a contratação, ficam os proponentes liberados dos compromissos assumidos.</w:t>
      </w:r>
    </w:p>
    <w:p>
      <w:pPr>
        <w:pStyle w:val="normal1"/>
        <w:keepNext w:val="false"/>
        <w:keepLines w:val="false"/>
        <w:pageBreakBefore w:val="false"/>
        <w:widowControl w:val="false"/>
        <w:numPr>
          <w:ilvl w:val="1"/>
          <w:numId w:val="25"/>
        </w:numPr>
        <w:shd w:val="clear" w:fill="auto"/>
        <w:tabs>
          <w:tab w:val="clear" w:pos="720"/>
          <w:tab w:val="left" w:pos="8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10.14.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No julgamento das propostas e na fase de habilitação o Agente de Contratação poderá sanar erros ou falhas que não alterem a substância das propostas e dos documentos e a sua validade jurídica, mediante despacho fundamentado, registrado em ata e acessível a todos, atribuindo-lhes validade e eficácia para fins de classificação e habilitação.</w:t>
      </w:r>
    </w:p>
    <w:p>
      <w:pPr>
        <w:pStyle w:val="normal1"/>
        <w:keepNext w:val="false"/>
        <w:keepLines w:val="false"/>
        <w:pageBreakBefore w:val="false"/>
        <w:widowControl w:val="false"/>
        <w:numPr>
          <w:ilvl w:val="1"/>
          <w:numId w:val="25"/>
        </w:numPr>
        <w:shd w:val="clear" w:fill="auto"/>
        <w:tabs>
          <w:tab w:val="clear" w:pos="720"/>
          <w:tab w:val="left" w:pos="8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10.15.</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Agente de Contratação poderá, durante a sessão, verificar a regularidade dos documentos disponíveis para consulta on-line exigidos no subitem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9.</w:t>
      </w:r>
      <w:r>
        <w:rPr>
          <w:rFonts w:eastAsia="Arial" w:cs="Arial" w:ascii="Arial" w:hAnsi="Arial"/>
        </w:rPr>
        <w:t>5</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que não forem previamente apresentada(s) pelo(s) proponente(s) ou que forem apresentados vencidos ou positivos.</w:t>
      </w:r>
    </w:p>
    <w:p>
      <w:pPr>
        <w:pStyle w:val="normal1"/>
        <w:keepNext w:val="false"/>
        <w:keepLines w:val="false"/>
        <w:pageBreakBefore w:val="false"/>
        <w:widowControl w:val="false"/>
        <w:numPr>
          <w:ilvl w:val="2"/>
          <w:numId w:val="25"/>
        </w:numPr>
        <w:shd w:val="clear" w:fill="auto"/>
        <w:tabs>
          <w:tab w:val="clear" w:pos="720"/>
          <w:tab w:val="left" w:pos="104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10.16.</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No momento da verificação, se o sistema estiver indisponível, ficará(ão) o(s) proponente(s) com o ônus de não ter(em) apresentado o documento ou ter(em) apresentado com restrição.</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DAS IMPUGNAÇÕES E DOS RECURSOS ADMINISTRATIVOS</w:t>
      </w:r>
    </w:p>
    <w:p>
      <w:pPr>
        <w:pStyle w:val="normal1"/>
        <w:keepNext w:val="false"/>
        <w:keepLines w:val="false"/>
        <w:pageBreakBefore w:val="false"/>
        <w:widowControl w:val="false"/>
        <w:numPr>
          <w:ilvl w:val="1"/>
          <w:numId w:val="25"/>
        </w:numPr>
        <w:shd w:val="clear" w:fill="auto"/>
        <w:tabs>
          <w:tab w:val="clear" w:pos="720"/>
          <w:tab w:val="left" w:pos="76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Qualquer pessoa poderá, até 03 (três) dias úteis anteriores à data fixada para abertura da sessão pública, impugnar os termos do Edital.</w:t>
      </w:r>
    </w:p>
    <w:p>
      <w:pPr>
        <w:pStyle w:val="normal1"/>
        <w:keepNext w:val="false"/>
        <w:keepLines w:val="false"/>
        <w:pageBreakBefore w:val="false"/>
        <w:widowControl w:val="false"/>
        <w:numPr>
          <w:ilvl w:val="2"/>
          <w:numId w:val="25"/>
        </w:numPr>
        <w:shd w:val="clear" w:fill="auto"/>
        <w:tabs>
          <w:tab w:val="clear" w:pos="720"/>
          <w:tab w:val="left" w:pos="98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As impugnações deverão ser protocoladas através do e-mail gerencialicitacao@pmf.sc.gov.br em documento digitalizado (PDF) devidamente assinado, até o vencimento do prazo, acompanhado da respectiva representatividade e, quando for o caso, de procuração.</w:t>
      </w:r>
    </w:p>
    <w:p>
      <w:pPr>
        <w:pStyle w:val="normal1"/>
        <w:keepNext w:val="false"/>
        <w:keepLines w:val="false"/>
        <w:pageBreakBefore w:val="false"/>
        <w:widowControl w:val="false"/>
        <w:numPr>
          <w:ilvl w:val="1"/>
          <w:numId w:val="25"/>
        </w:numPr>
        <w:shd w:val="clear" w:fill="auto"/>
        <w:tabs>
          <w:tab w:val="clear" w:pos="720"/>
          <w:tab w:val="left" w:pos="73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11.3.</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Não serão conhecidas as impugnações e os recursos apresentados fora do prazo legal e/ou subscritos por representante não habilitado legalmente ou não identificado no processo para responder pelo proponente.</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Caberá </w:t>
      </w:r>
      <w:r>
        <w:rPr>
          <w:rFonts w:eastAsia="Arial" w:cs="Arial" w:ascii="Arial" w:hAnsi="Arial"/>
        </w:rPr>
        <w:t>à autoridade</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superior, auxiliado pelo setor responsável pela elaboração do edital, decidir sobre as eventuais impugnações.</w:t>
      </w:r>
    </w:p>
    <w:p>
      <w:pPr>
        <w:pStyle w:val="normal1"/>
        <w:keepNext w:val="false"/>
        <w:keepLines w:val="false"/>
        <w:pageBreakBefore w:val="false"/>
        <w:widowControl w:val="false"/>
        <w:numPr>
          <w:ilvl w:val="1"/>
          <w:numId w:val="25"/>
        </w:numPr>
        <w:shd w:val="clear" w:fill="auto"/>
        <w:tabs>
          <w:tab w:val="clear" w:pos="720"/>
          <w:tab w:val="left" w:pos="75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11.5.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Acolhida a impugnação contra o presente Edital, será designada nova data para a realização do certame, exceto quando a alteração não afetar a formulação das propostas.</w:t>
      </w:r>
    </w:p>
    <w:p>
      <w:pPr>
        <w:pStyle w:val="normal1"/>
        <w:keepNext w:val="false"/>
        <w:keepLines w:val="false"/>
        <w:pageBreakBefore w:val="false"/>
        <w:widowControl w:val="false"/>
        <w:numPr>
          <w:ilvl w:val="1"/>
          <w:numId w:val="25"/>
        </w:numPr>
        <w:shd w:val="clear" w:fill="FFFFFF"/>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11.6.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As respostas às impugnações serão disponibilizadas no prazo de 03 (três) dias úteis, limitado ao último dia útil anterior à data da abertura do certame, contados do data de recebimento da impugnação e ficarão disponíveis  para  todos os  interessados  nos  endereços  eletrônicos:  </w:t>
      </w:r>
      <w:hyperlink r:id="rId8">
        <w:r>
          <w:rPr>
            <w:rStyle w:val="Style3"/>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www.pmf.sc.gov.br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 xml:space="preserve">e </w:t>
      </w:r>
      <w:hyperlink r:id="rId9">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www.gov.br/compras/pt-br</w:t>
        </w:r>
      </w:hyperlink>
      <w:hyperlink r:id="rId10">
        <w:r>
          <w:rPr>
            <w:rStyle w:val="Style3"/>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t>
        </w:r>
      </w:hyperlink>
    </w:p>
    <w:p>
      <w:pPr>
        <w:pStyle w:val="normal1"/>
        <w:keepNext w:val="false"/>
        <w:keepLines w:val="false"/>
        <w:pageBreakBefore w:val="false"/>
        <w:widowControl w:val="false"/>
        <w:numPr>
          <w:ilvl w:val="1"/>
          <w:numId w:val="25"/>
        </w:numPr>
        <w:shd w:val="clear" w:fill="FFFFFF"/>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11.7.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Do Recurso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2"/>
          <w:numId w:val="25"/>
        </w:numPr>
        <w:shd w:val="clear" w:fill="FFFFFF"/>
        <w:tabs>
          <w:tab w:val="clear" w:pos="720"/>
          <w:tab w:val="left" w:pos="960"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7.1</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Após declarado o vencedor, será concedido o prazo de 10 (dez) minutos para que qualquer proponente manifeste a intenção de recorrer, em campo próprio do sistema.</w:t>
      </w:r>
    </w:p>
    <w:p>
      <w:pPr>
        <w:pStyle w:val="normal1"/>
        <w:keepNext w:val="false"/>
        <w:keepLines w:val="false"/>
        <w:pageBreakBefore w:val="false"/>
        <w:widowControl w:val="false"/>
        <w:numPr>
          <w:ilvl w:val="2"/>
          <w:numId w:val="25"/>
        </w:numPr>
        <w:shd w:val="clear" w:fill="FFFFFF"/>
        <w:tabs>
          <w:tab w:val="clear" w:pos="720"/>
          <w:tab w:val="left" w:pos="976"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7.2</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falta de manifestação motivada do proponente quanto à intenção de recorrer importará a decadência desse direito.</w:t>
      </w:r>
    </w:p>
    <w:p>
      <w:pPr>
        <w:pStyle w:val="normal1"/>
        <w:keepNext w:val="false"/>
        <w:keepLines w:val="false"/>
        <w:pageBreakBefore w:val="false"/>
        <w:widowControl w:val="false"/>
        <w:numPr>
          <w:ilvl w:val="2"/>
          <w:numId w:val="25"/>
        </w:numPr>
        <w:shd w:val="clear" w:fill="FFFFFF"/>
        <w:tabs>
          <w:tab w:val="clear" w:pos="720"/>
          <w:tab w:val="left" w:pos="920" w:leader="none"/>
        </w:tabs>
        <w:spacing w:lineRule="auto" w:line="360" w:before="0" w:after="0"/>
        <w:ind w:hanging="0" w:start="0"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7.3</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Quando será concedido o prazo de 03 (três) dias para apresentação das razões de recurso, ficando os demais proponentes, desde logo, intimados para apresentarem contrarrazões em igual número de dias, que começarão a correr do término do prazo do recorrente, sendo-lhes assegurado vista imediata dos autos</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2"/>
          <w:numId w:val="25"/>
        </w:numPr>
        <w:shd w:val="clear" w:fill="FFFFFF"/>
        <w:tabs>
          <w:tab w:val="clear" w:pos="720"/>
          <w:tab w:val="left" w:pos="91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7.4</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As razões de recursos e contrarrazões deverão ser protocolizadas através do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Portal de Compras do Governo Federa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l - </w:t>
      </w:r>
      <w:hyperlink r:id="rId11">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www.gov.br/compras/pt-b</w:t>
        </w:r>
      </w:hyperlink>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r</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ou do e-mail </w:t>
      </w:r>
      <w:hyperlink r:id="rId12">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gerencialicitacao@pmf.sc.gov.br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em documento digitalizado (PDF) devidamente assinado, acompanhado da respectiva representatividade e, quando for o caso, de procuração.</w:t>
      </w:r>
    </w:p>
    <w:p>
      <w:pPr>
        <w:pStyle w:val="normal1"/>
        <w:keepNext w:val="false"/>
        <w:keepLines w:val="false"/>
        <w:pageBreakBefore w:val="false"/>
        <w:widowControl w:val="false"/>
        <w:numPr>
          <w:ilvl w:val="2"/>
          <w:numId w:val="25"/>
        </w:numPr>
        <w:shd w:val="clear" w:fill="FFFFFF"/>
        <w:tabs>
          <w:tab w:val="clear" w:pos="720"/>
          <w:tab w:val="left" w:pos="927"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7.5</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proponente desclassificado antes da fase de disputa também poderá manifestar sua intenção de interpor recurso na forma do subitem anterior.</w:t>
      </w:r>
    </w:p>
    <w:p>
      <w:pPr>
        <w:pStyle w:val="normal1"/>
        <w:keepNext w:val="false"/>
        <w:keepLines w:val="false"/>
        <w:pageBreakBefore w:val="false"/>
        <w:widowControl w:val="false"/>
        <w:numPr>
          <w:ilvl w:val="2"/>
          <w:numId w:val="25"/>
        </w:numPr>
        <w:shd w:val="clear" w:fill="auto"/>
        <w:tabs>
          <w:tab w:val="clear" w:pos="720"/>
          <w:tab w:val="left" w:pos="91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7.6</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falta de manifestação imediata importará a decadência do direito de recurso, e não será admitida inovação na motivação dos recursos propostos.</w:t>
      </w:r>
    </w:p>
    <w:p>
      <w:pPr>
        <w:pStyle w:val="normal1"/>
        <w:keepNext w:val="false"/>
        <w:keepLines w:val="false"/>
        <w:pageBreakBefore w:val="false"/>
        <w:widowControl w:val="false"/>
        <w:numPr>
          <w:ilvl w:val="2"/>
          <w:numId w:val="25"/>
        </w:numPr>
        <w:shd w:val="clear" w:fill="auto"/>
        <w:tabs>
          <w:tab w:val="clear" w:pos="720"/>
          <w:tab w:val="left" w:pos="97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11.</w:t>
      </w:r>
      <w:r>
        <w:rPr>
          <w:rFonts w:eastAsia="Arial" w:cs="Arial" w:ascii="Arial" w:hAnsi="Arial"/>
          <w:b/>
          <w:bCs/>
        </w:rPr>
        <w:t>7.7</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Agente de Contratação fará juízo de admissibilidade da intenção de recorrer manifestada aceitando-a ou, motivadamente, rejeitando-a.</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ADJUDICAÇÃO E DA HOMOLOGAÇÃO</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12.1.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adjudicação e a homologação será realizada pela autoridade competente.</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284"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CONTRATAÇÃO</w:t>
      </w:r>
    </w:p>
    <w:p>
      <w:pPr>
        <w:pStyle w:val="normal1"/>
        <w:keepNext w:val="false"/>
        <w:keepLines w:val="false"/>
        <w:pageBreakBefore w:val="false"/>
        <w:widowControl w:val="false"/>
        <w:numPr>
          <w:ilvl w:val="1"/>
          <w:numId w:val="25"/>
        </w:numPr>
        <w:shd w:val="clear" w:fill="auto"/>
        <w:tabs>
          <w:tab w:val="clear" w:pos="720"/>
          <w:tab w:val="left" w:pos="76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contratação do(s) proponente(s) vencedor(es) da presente Concorrência será representada pela expedição do Termo de Contrato, da qual constará, no mínimo, identificação da licitação, especificações resumidas do serviço licitado, quantitativo, preço unitário e total, fornecedor, local e prazo para execução dos serviços conforme solicitação do Contratante.</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Convocação para assinatura eletrônica do contrato:</w:t>
      </w:r>
    </w:p>
    <w:p>
      <w:pPr>
        <w:pStyle w:val="normal1"/>
        <w:keepNext w:val="false"/>
        <w:keepLines w:val="false"/>
        <w:pageBreakBefore w:val="false"/>
        <w:widowControl w:val="false"/>
        <w:numPr>
          <w:ilvl w:val="2"/>
          <w:numId w:val="25"/>
        </w:numPr>
        <w:shd w:val="clear" w:fill="auto"/>
        <w:tabs>
          <w:tab w:val="clear" w:pos="720"/>
          <w:tab w:val="left" w:pos="962"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w:t>
      </w:r>
      <w:r>
        <w:rPr>
          <w:rFonts w:eastAsia="Arial" w:cs="Arial" w:ascii="Arial" w:hAnsi="Arial"/>
          <w:b/>
          <w:bCs/>
        </w:rPr>
        <w:t>2.1</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Homologado o resultado da licitação, o(s) vencedor(es) será(ão) convocado(s) para assinatura eletrônica do contrato, que deverá ocorrer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no prazo de até 05 (cinco) dias úteis contados da sua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disponibilização no Sistema Eletrônico de Informação (SEI).</w:t>
      </w:r>
    </w:p>
    <w:p>
      <w:pPr>
        <w:pStyle w:val="normal1"/>
        <w:keepNext w:val="false"/>
        <w:keepLines w:val="false"/>
        <w:pageBreakBefore w:val="false"/>
        <w:widowControl w:val="false"/>
        <w:numPr>
          <w:ilvl w:val="2"/>
          <w:numId w:val="25"/>
        </w:numPr>
        <w:shd w:val="clear" w:fill="auto"/>
        <w:tabs>
          <w:tab w:val="clear" w:pos="720"/>
          <w:tab w:val="left" w:pos="939"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w:t>
      </w:r>
      <w:r>
        <w:rPr>
          <w:rFonts w:eastAsia="Arial" w:cs="Arial" w:ascii="Arial" w:hAnsi="Arial"/>
          <w:b/>
          <w:bCs/>
        </w:rPr>
        <w:t>2.2</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O(s) representante(s) legal(is) do(s) vencedor(s) receberá(ão) um e-mail no endereço cadastrado informando a disponibilização do documento para assinatura eletrônica, o qual indicará o </w:t>
      </w:r>
      <w:r>
        <w:rPr>
          <w:rFonts w:eastAsia="Arial" w:cs="Arial" w:ascii="Arial" w:hAnsi="Arial"/>
          <w:b w:val="false"/>
          <w:bCs w:val="false"/>
          <w:i/>
          <w:iCs/>
          <w:caps w:val="false"/>
          <w:smallCaps w:val="false"/>
          <w:strike w:val="false"/>
          <w:dstrike w:val="false"/>
          <w:color w:val="000000"/>
          <w:position w:val="0"/>
          <w:sz w:val="22"/>
          <w:u w:val="none"/>
          <w:shd w:fill="auto" w:val="clear"/>
          <w:vertAlign w:val="baseline"/>
        </w:rPr>
        <w:t xml:space="preserve">link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para acesso.</w:t>
      </w:r>
    </w:p>
    <w:p>
      <w:pPr>
        <w:pStyle w:val="normal1"/>
        <w:keepNext w:val="false"/>
        <w:keepLines w:val="false"/>
        <w:pageBreakBefore w:val="false"/>
        <w:widowControl w:val="false"/>
        <w:numPr>
          <w:ilvl w:val="2"/>
          <w:numId w:val="25"/>
        </w:numPr>
        <w:shd w:val="clear" w:fill="auto"/>
        <w:tabs>
          <w:tab w:val="clear" w:pos="720"/>
          <w:tab w:val="left" w:pos="908"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w:t>
      </w:r>
      <w:r>
        <w:rPr>
          <w:rFonts w:eastAsia="Arial" w:cs="Arial" w:ascii="Arial" w:hAnsi="Arial"/>
          <w:b/>
          <w:bCs/>
        </w:rPr>
        <w:t>2.3</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É de responsabilidade exclusiva do usuário a consulta acerca da disponibilização do documento para assinatura no seu ambiente virtual.</w:t>
      </w:r>
    </w:p>
    <w:p>
      <w:pPr>
        <w:pStyle w:val="normal1"/>
        <w:keepNext w:val="false"/>
        <w:keepLines w:val="false"/>
        <w:pageBreakBefore w:val="false"/>
        <w:widowControl w:val="false"/>
        <w:numPr>
          <w:ilvl w:val="1"/>
          <w:numId w:val="25"/>
        </w:numPr>
        <w:shd w:val="clear" w:fill="auto"/>
        <w:tabs>
          <w:tab w:val="clear" w:pos="720"/>
          <w:tab w:val="left" w:pos="741"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w:t>
      </w:r>
      <w:r>
        <w:rPr>
          <w:rFonts w:eastAsia="Arial" w:cs="Arial" w:ascii="Arial" w:hAnsi="Arial"/>
          <w:b/>
          <w:bCs/>
        </w:rPr>
        <w:t>2.4</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Se o vencedor não apresentar situação de habilitação regular ou, dentro do prazo de validade de sua proposta, se recusar a assinar o contrato, poderá ser convocado outro proponente. Neste caso, será observada a ordem de classificação, averiguada a aceitabilidade de sua oferta, procedendo à sua habilitação e, sucessivamente, até a apuração de um que atenda ao Edital que será declarado o vencedor do certame, podendo o Agente de Contratação negociar diretamente com o proponente para que seja obtido melhor preço.</w:t>
      </w:r>
    </w:p>
    <w:p>
      <w:pPr>
        <w:pStyle w:val="normal1"/>
        <w:keepNext w:val="false"/>
        <w:keepLines w:val="false"/>
        <w:pageBreakBefore w:val="false"/>
        <w:widowControl w:val="false"/>
        <w:numPr>
          <w:ilvl w:val="2"/>
          <w:numId w:val="25"/>
        </w:numPr>
        <w:shd w:val="clear" w:fill="auto"/>
        <w:tabs>
          <w:tab w:val="clear" w:pos="720"/>
          <w:tab w:val="left" w:pos="94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13.</w:t>
      </w:r>
      <w:r>
        <w:rPr>
          <w:rFonts w:eastAsia="Arial" w:cs="Arial" w:ascii="Arial" w:hAnsi="Arial"/>
          <w:b/>
          <w:bCs/>
        </w:rPr>
        <w:t>2.5</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Se o vencedor se recusar a assinar o contrato no prazo estabelecido, apresentar justificativa por escrito não aceita pela Administração ou deixar de fazê-lo, além de decair do direito, sujeitar-se-á das sanções previstas neste Edital.</w:t>
      </w:r>
    </w:p>
    <w:p>
      <w:pPr>
        <w:pStyle w:val="normal1"/>
        <w:keepNext w:val="false"/>
        <w:keepLines w:val="false"/>
        <w:pageBreakBefore w:val="false"/>
        <w:widowControl w:val="false"/>
        <w:numPr>
          <w:ilvl w:val="2"/>
          <w:numId w:val="25"/>
        </w:numPr>
        <w:shd w:val="clear" w:fill="auto"/>
        <w:tabs>
          <w:tab w:val="clear" w:pos="720"/>
          <w:tab w:val="left" w:pos="908" w:leader="none"/>
        </w:tabs>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DA ASSINATURA </w:t>
      </w:r>
    </w:p>
    <w:p>
      <w:pPr>
        <w:pStyle w:val="normal1"/>
        <w:keepNext w:val="false"/>
        <w:keepLines w:val="false"/>
        <w:pageBreakBefore w:val="false"/>
        <w:widowControl w:val="false"/>
        <w:numPr>
          <w:ilvl w:val="1"/>
          <w:numId w:val="25"/>
        </w:numPr>
        <w:shd w:val="clear" w:fill="auto"/>
        <w:tabs>
          <w:tab w:val="clear" w:pos="720"/>
          <w:tab w:val="left" w:pos="801" w:leader="none"/>
        </w:tabs>
        <w:spacing w:lineRule="auto" w:line="360" w:before="0" w:after="0"/>
        <w:ind w:hanging="0" w:start="0" w:end="113"/>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14.1.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PROPONENTE VENCEDOR terá o prazo de 05 (cinco) dias úteis, contados a partir da convocação, para assinar o Contrato. Este prazo poderá ser prorrogado uma vez, por igual período, quando solicitado pelo PROPONENTE VENCEDOR durante o seu transcurso e desde que ocorra motivo justificado, aceito pela Secretaria Solicitante.</w:t>
      </w:r>
    </w:p>
    <w:p>
      <w:pPr>
        <w:pStyle w:val="normal1"/>
        <w:keepNext w:val="false"/>
        <w:keepLines w:val="false"/>
        <w:pageBreakBefore w:val="false"/>
        <w:widowControl w:val="false"/>
        <w:numPr>
          <w:ilvl w:val="1"/>
          <w:numId w:val="25"/>
        </w:numPr>
        <w:shd w:val="clear" w:fill="auto"/>
        <w:tabs>
          <w:tab w:val="clear" w:pos="720"/>
          <w:tab w:val="left" w:pos="801" w:leader="none"/>
        </w:tabs>
        <w:spacing w:lineRule="auto" w:line="360" w:before="0" w:after="0"/>
        <w:ind w:hanging="0" w:start="284"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DOS PRAZOS E DA FORMA DE EXECUÇÃO DO OBJETO</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15.1.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O </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prazo de vigência contratual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será de </w:t>
      </w:r>
      <w:r>
        <w:rPr>
          <w:rFonts w:eastAsia="Arial" w:cs="Arial" w:ascii="Arial" w:hAnsi="Arial"/>
          <w:b/>
          <w:bCs/>
        </w:rPr>
        <w:t>12</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bCs/>
        </w:rPr>
        <w:t>doze</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bCs/>
        </w:rPr>
        <w:t>meses</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contados a partir da </w:t>
      </w:r>
      <w:r>
        <w:rPr>
          <w:rFonts w:eastAsia="Arial" w:cs="Arial" w:ascii="Arial" w:hAnsi="Arial"/>
        </w:rPr>
        <w:t>sua publicação</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na forma do artigo 105 da Lei n° 14.133, de 2021, podendo ser prorrogado, na forma do artigo 111 da Lei n° 14.133, de 2021.</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15.</w:t>
      </w:r>
      <w:r>
        <w:rPr>
          <w:rFonts w:eastAsia="Arial" w:cs="Arial" w:ascii="Arial" w:hAnsi="Arial"/>
          <w:b/>
          <w:bCs/>
        </w:rPr>
        <w:t>2</w:t>
      </w: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Os preços inicialmente contratados somente poderão ser reajustados após o prazo de um ano, contado da data base do orçamento estimado, qual seja, </w:t>
      </w:r>
      <w:r>
        <w:rPr>
          <w:rFonts w:eastAsia="Arial" w:cs="Arial" w:ascii="Arial" w:hAnsi="Arial"/>
          <w:b/>
          <w:bCs/>
        </w:rPr>
        <w:t>fevereiro de 2026.</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15.</w:t>
      </w:r>
      <w:r>
        <w:rPr>
          <w:rFonts w:eastAsia="Arial" w:cs="Arial" w:ascii="Arial" w:hAnsi="Arial"/>
          <w:b/>
          <w:bCs/>
        </w:rPr>
        <w:t>3</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Após o interregno de um ano, e independentemente de pedido do contratado, os preços iniciais serão reajustados, mediante a aplicação do índice INCC/DI - Índice Nacional de Custo de Construção - Disponibilidade Interna</w:t>
      </w:r>
      <w:r>
        <w:rPr>
          <w:rFonts w:eastAsia="Arial" w:cs="Arial" w:ascii="Arial" w:hAnsi="Arial"/>
          <w:b w:val="false"/>
          <w:bCs w:val="false"/>
          <w:i/>
          <w:iCs/>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exclusivamente para as obrigações iniciadas e concluídas após a ocorrência da anualidade.</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15.</w:t>
      </w:r>
      <w:r>
        <w:rPr>
          <w:rFonts w:eastAsia="Arial" w:cs="Arial" w:ascii="Arial" w:hAnsi="Arial"/>
          <w:b/>
          <w:bCs/>
        </w:rPr>
        <w:t>4</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Nos reajustes subsequentes ao primeiro o </w:t>
      </w:r>
      <w:r>
        <w:rPr>
          <w:rFonts w:eastAsia="Arial" w:cs="Arial" w:ascii="Arial" w:hAnsi="Arial"/>
        </w:rPr>
        <w:t>intervalo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mínimo de um ano será contado a partir dos efeitos financeiros do último reajuste.</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15.</w:t>
      </w:r>
      <w:r>
        <w:rPr>
          <w:rFonts w:eastAsia="Arial" w:cs="Arial" w:ascii="Arial" w:hAnsi="Arial"/>
          <w:b/>
          <w:bCs/>
        </w:rPr>
        <w:t>5</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Para fins de contagem dos prazos previstos será considerado como data de assinatura do contrato a data da última assinatura (dia/mês/ano) dos signatários referenciados no preâmbulo do referido instrumento.</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GARANTIA DO CONTRATO</w:t>
      </w:r>
    </w:p>
    <w:p>
      <w:pPr>
        <w:pStyle w:val="normal1"/>
        <w:keepNext w:val="false"/>
        <w:keepLines w:val="false"/>
        <w:pageBreakBefore w:val="false"/>
        <w:widowControl w:val="false"/>
        <w:numPr>
          <w:ilvl w:val="1"/>
          <w:numId w:val="25"/>
        </w:numPr>
        <w:shd w:val="clear" w:fill="auto"/>
        <w:tabs>
          <w:tab w:val="clear" w:pos="720"/>
          <w:tab w:val="left" w:pos="750" w:leader="none"/>
        </w:tabs>
        <w:spacing w:lineRule="auto" w:line="360" w:before="0" w:after="0"/>
        <w:ind w:hanging="0" w:start="0"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16.1.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contratada deverá apresentar garantia de execução do contrato, nos moldes do art. 96 da Lei nº 14.133/2021, no valor correspondente à </w:t>
      </w:r>
      <w:r>
        <w:rPr>
          <w:rFonts w:eastAsia="Arial" w:cs="Arial" w:ascii="Arial" w:hAnsi="Arial"/>
        </w:rPr>
        <w:t>5</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w:t>
      </w:r>
      <w:r>
        <w:rPr>
          <w:rFonts w:eastAsia="Arial" w:cs="Arial" w:ascii="Arial" w:hAnsi="Arial"/>
        </w:rPr>
        <w:t>cinco</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por cento)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do valor total do contrato, com validade durante a vigência do contrato, devendo ser renovada a cada prorrogação</w:t>
      </w: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16.2.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garantia de contrato deverá ser apresentada no prazo máximo de 10 (dez) dias úteis, prorrogáveis por igual período, a critério do Município, contados da assinatura do contrato.</w:t>
      </w:r>
    </w:p>
    <w:p>
      <w:pPr>
        <w:pStyle w:val="normal1"/>
        <w:keepNext w:val="false"/>
        <w:keepLines w:val="false"/>
        <w:pageBreakBefore w:val="false"/>
        <w:widowControl w:val="false"/>
        <w:numPr>
          <w:ilvl w:val="1"/>
          <w:numId w:val="25"/>
        </w:numPr>
        <w:shd w:val="clear" w:fill="auto"/>
        <w:tabs>
          <w:tab w:val="clear" w:pos="720"/>
          <w:tab w:val="left" w:pos="724"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16.3.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garantia prestada pelo contratado será liberada ou restituída após a emissão do termo de recebimento definitivo dos serviços.</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DA GESTÃO DO CONTRATO</w:t>
      </w:r>
    </w:p>
    <w:p>
      <w:pPr>
        <w:pStyle w:val="normal1"/>
        <w:keepNext w:val="false"/>
        <w:keepLines w:val="false"/>
        <w:pageBreakBefore w:val="false"/>
        <w:widowControl w:val="false"/>
        <w:numPr>
          <w:ilvl w:val="1"/>
          <w:numId w:val="17"/>
        </w:numPr>
        <w:shd w:val="clear" w:fill="auto"/>
        <w:tabs>
          <w:tab w:val="clear" w:pos="720"/>
          <w:tab w:val="left" w:pos="5"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A gestão do contrato será realizada pela </w:t>
      </w:r>
      <w:r>
        <w:rPr>
          <w:rFonts w:eastAsia="Arial" w:cs="Arial" w:ascii="Arial" w:hAnsi="Arial"/>
        </w:rPr>
        <w:t>Secretaria Municipal de Planejamento, Habitação e Desenvolvimento Urbano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sendo essa responsável pelo recebimento e fiscalização do objeto licitado, devendo ser observado o disposto no art. 117 da Lei nº 14.133/21.</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 PAGAMENTO DOS SERVIÇOS CONTRATADOS</w:t>
      </w:r>
    </w:p>
    <w:p>
      <w:pPr>
        <w:pStyle w:val="normal1"/>
        <w:keepNext w:val="false"/>
        <w:keepLines w:val="false"/>
        <w:pageBreakBefore w:val="false"/>
        <w:widowControl/>
        <w:shd w:val="clear" w:fill="auto"/>
        <w:spacing w:lineRule="auto" w:line="360" w:before="0" w:after="0"/>
        <w:ind w:hanging="0" w:start="0" w:end="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18.1.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pagamento será efetuado de acordo com o contrato.</w:t>
      </w:r>
    </w:p>
    <w:p>
      <w:pPr>
        <w:pStyle w:val="normal1"/>
        <w:spacing w:lineRule="auto" w:line="360"/>
        <w:ind w:hanging="0" w:start="0"/>
        <w:jc w:val="both"/>
        <w:rPr>
          <w:rFonts w:ascii="Arial" w:hAnsi="Arial" w:eastAsia="Arial" w:cs="Arial"/>
        </w:rPr>
      </w:pPr>
      <w:r>
        <w:rPr>
          <w:rFonts w:eastAsia="Arial" w:cs="Arial" w:ascii="Arial" w:hAnsi="Arial"/>
          <w:b/>
          <w:bCs/>
        </w:rPr>
        <w:t>18.2.</w:t>
      </w:r>
      <w:r>
        <w:rPr>
          <w:rFonts w:eastAsia="Arial" w:cs="Arial" w:ascii="Arial" w:hAnsi="Arial"/>
        </w:rPr>
        <w:t xml:space="preserve"> O pagamento somente será liberado mediante a apresentação da Certidão Negativa de Débito para com a Fazenda Municipal de Florianópolis, Certidão Negativa de Débito Federal e Certidão de Regularidade do FGTS.</w:t>
      </w:r>
    </w:p>
    <w:p>
      <w:pPr>
        <w:pStyle w:val="normal1"/>
        <w:spacing w:lineRule="auto" w:line="360"/>
        <w:ind w:hanging="0" w:start="0"/>
        <w:jc w:val="both"/>
        <w:rPr>
          <w:rFonts w:ascii="Arial" w:hAnsi="Arial" w:eastAsia="Arial" w:cs="Arial"/>
        </w:rPr>
      </w:pPr>
      <w:r>
        <w:rPr>
          <w:rFonts w:eastAsia="Arial" w:cs="Arial" w:ascii="Arial" w:hAnsi="Arial"/>
          <w:b/>
          <w:bCs/>
        </w:rPr>
        <w:t xml:space="preserve">18.3. </w:t>
      </w:r>
      <w:r>
        <w:rPr>
          <w:rFonts w:eastAsia="Arial" w:cs="Arial" w:ascii="Arial" w:hAnsi="Arial"/>
          <w:u w:val="single"/>
        </w:rPr>
        <w:t>O primeiro pagamento fica condicionado e somente será liberado mediante a apresentação do Seguro-garantia</w:t>
      </w:r>
      <w:r>
        <w:rPr>
          <w:rFonts w:eastAsia="Arial" w:cs="Arial" w:ascii="Arial" w:hAnsi="Arial"/>
        </w:rPr>
        <w:t>.</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25"/>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DO RECEBIMENTO DA OBRA</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Concluídas todas as obras e serviços objetos desta licitação, se estiverem em perfeitas condições atestada pela FISCALIZAÇÃO e após efetuados todos os testes e ensaios necessários, bem como recebida toda a documentação exigida neste memorial e nos demais documentos contratuais, a obra poderá ser dada como concluída e recebida pela CONTRATANTE.</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Para a entrega da obra a Contratada obriga-se a apresentar, além de todos os certificados e garantias de materiais e equipamentos exigidos neste memorial e nos memoriais específicos de cada disciplina, todas as ligações definitivas concluídas, em operação e perfeito funcionamento, bem como laudos exigidos para emissão do Habite-se da obra, quando couber. A critério da FISCALIZAÇÃO DA OBRA deverão ser apresentadas as notas fiscais de compra dos materiais sujeitos à comprovação de especificação, como pisos, vidros laminados e outros que se julgue necessário.</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Ao final de todos os serviços, deverá ser entregue à Fiscalização os desenhos “as built”, memoriais e planilhas, </w:t>
      </w:r>
      <w:r>
        <w:rPr>
          <w:rFonts w:eastAsia="Arial" w:cs="Arial" w:ascii="Arial" w:hAnsi="Arial"/>
        </w:rPr>
        <w:t xml:space="preserve">através de pasta em nuvem, </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nas versões digitais para manuseio (ex:.dwg, xls, doc etc.) e versões de plotagem (ex.: plt, pdf etc.), indicando toda e qualquer alteração do projeto executivo decorrente de eventuais “soluções de obra”, “termos aditivos” etc. Todos os certificados de garantia de materiais e equipamentos utilizados e ou instalados devem ser oficialmente entregues à Fiscalização, registrando o item, prazo de garantia e estado de qualidade. </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Caberá à Contratada realizar todos os testes de materiais e equipamentos exigidos pela Fiscalização, sem que isto represente quaisquer custos adicionais para a Contratante. Na verificação final serão obedecidas as normas da ABNT ou sucedâneas. </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recebimento do objeto deste contrato ficará condicionado </w:t>
      </w:r>
      <w:r>
        <w:rPr>
          <w:rFonts w:eastAsia="Arial" w:cs="Arial" w:ascii="Arial" w:hAnsi="Arial"/>
        </w:rPr>
        <w:t>à observância</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das normas contidas no art. 40, inciso XVI, c/c o art. 73 inciso I e II, da Lei 14.133/21 e alterações, sendo que a conferência e o recebimento ficarão sob as responsabilidades de Servidor fiscal do contrato.</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serviço contratado deverá ser conferido por técnicos capacitados da CONTRATADA. Se, após o recebimento provisório, constatar-se que o serviço foi entregue em desacordo com a proposta, com defeito, fora de especificação ou incompleto, após a notificação à Contratada serão interrompidos os prazos de recebimento e suspenso o pagamento, até que sanada a situação.</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recebimento provisório ou definitivo não exclui a responsabilidade civil pela solidez e segurança do serviço, nem ético-profissional pela perfeita execução do contrato, dentro dos limites estabelecidos pela lei ou pelo contrato.</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CONTRATADA deverá manter preposto aceito pelo CONTRATANTE para representá-la na execução do contrato.</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CONTRATADA é obrigada a reparar, corrigir, remover, reconstruir ou substituir, às suas expensas, no total ou em parte, o objeto do contrato em que se verificarem vícios, defeitos ou incorreções resultantes da execução ou de materiais empregados.</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CONTRATADA é responsável pelos danos causados diretamente ao CONTRATANTE ou a terceiros decorrentes de sua culpa ou dolo na execução do contrato, não excluindo ou reduzindo essa responsabilidade a fiscalização ou o acompanhamento pelo órgão interessado.</w:t>
      </w:r>
    </w:p>
    <w:p>
      <w:pPr>
        <w:pStyle w:val="normal1"/>
        <w:keepNext w:val="false"/>
        <w:keepLines w:val="false"/>
        <w:pageBreakBefore w:val="false"/>
        <w:widowControl/>
        <w:numPr>
          <w:ilvl w:val="1"/>
          <w:numId w:val="18"/>
        </w:numPr>
        <w:shd w:val="clear" w:fill="auto"/>
        <w:tabs>
          <w:tab w:val="clear" w:pos="720"/>
          <w:tab w:val="left" w:pos="85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CONTRATANTE rejeitará, no todo ou em parte, serviço executado em desacordo com o contrato.</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18"/>
        </w:numPr>
        <w:shd w:val="clear" w:fill="auto"/>
        <w:tabs>
          <w:tab w:val="clear" w:pos="720"/>
          <w:tab w:val="left" w:pos="540" w:leader="none"/>
        </w:tabs>
        <w:spacing w:lineRule="auto" w:line="360" w:before="0" w:after="0"/>
        <w:ind w:hanging="0" w:start="284" w:end="250"/>
        <w:jc w:val="start"/>
        <w:rPr>
          <w:rFonts w:ascii="Arial" w:hAnsi="Arial" w:eastAsia="Arial" w:cs="Arial"/>
          <w:b/>
          <w:bCs/>
          <w:i w:val="false"/>
          <w:iCs w:val="false"/>
          <w:caps w:val="false"/>
          <w:smallCaps w:val="false"/>
          <w:strike w:val="false"/>
          <w:dstrike w:val="false"/>
          <w:color w:val="000000"/>
          <w:position w:val="0"/>
          <w:sz w:val="22"/>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 xml:space="preserve"> </w:t>
      </w:r>
      <w:r>
        <w:rPr>
          <w:rFonts w:eastAsia="Arial" w:cs="Arial" w:ascii="Arial" w:hAnsi="Arial"/>
          <w:b/>
          <w:bCs/>
          <w:i w:val="false"/>
          <w:iCs w:val="false"/>
          <w:caps w:val="false"/>
          <w:smallCaps w:val="false"/>
          <w:strike w:val="false"/>
          <w:dstrike w:val="false"/>
          <w:color w:val="000000"/>
          <w:position w:val="0"/>
          <w:sz w:val="22"/>
          <w:u w:val="none"/>
          <w:vertAlign w:val="baseline"/>
        </w:rPr>
        <w:t>DAS SANÇÕES</w:t>
      </w:r>
    </w:p>
    <w:p>
      <w:pPr>
        <w:pStyle w:val="normal1"/>
        <w:keepNext w:val="false"/>
        <w:keepLines w:val="false"/>
        <w:pageBreakBefore w:val="false"/>
        <w:widowControl w:val="false"/>
        <w:numPr>
          <w:ilvl w:val="1"/>
          <w:numId w:val="18"/>
        </w:numPr>
        <w:shd w:val="clear" w:fill="auto"/>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Conforme art. 155 da Lei Federal 14.133/2021, o licitante ou o contratado será responsabilizado administrativamente pelas seguintes infrações: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 - dar causa à inexecução parcial do contrato;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 - dar causa à inexecução parcial do contrato que cause grave dano à Administração, ao funcionamento dos serviços públicos ou ao interesse coletivo;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III - dar causa à inexecução total do contrato;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IV - deixar de entregar a documentação exigida para o certame;</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V - não manter a proposta, salvo em decorrência de fato superveniente devidamente justificado;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VI - não celebrar o contrato ou não entregar a documentação exigida para a contratação, quando convocado dentro do prazo de validade de sua proposta;</w:t>
      </w:r>
    </w:p>
    <w:p>
      <w:pPr>
        <w:pStyle w:val="normal1"/>
        <w:keepNext w:val="false"/>
        <w:keepLines w:val="false"/>
        <w:pageBreakBefore w:val="false"/>
        <w:widowControl w:val="false"/>
        <w:shd w:val="clear" w:fill="auto"/>
        <w:tabs>
          <w:tab w:val="clear" w:pos="720"/>
          <w:tab w:val="left" w:pos="305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VII - ensejar o retardamento da execução ou da entrega do objeto da licitação sem motivo justificado;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VIII - apresentar declaração ou documentação falsa exigida para o certame ou prestar declaração falsa durante a licitação ou a execução do contrato; </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IX - fraudar a licitação ou praticar ato fraudulento na execução do contrato; </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X - comportar-se de modo inidôneo ou cometer fraude de qualquer natureza;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XI - praticar atos ilícitos com vistas a frustrar os objetivos da licitação;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XII - praticar ato lesivo previsto no art. 5º da Lei nº 12.846, de 1º de agosto de 2013.</w:t>
      </w:r>
    </w:p>
    <w:p>
      <w:pPr>
        <w:pStyle w:val="normal1"/>
        <w:keepNext w:val="false"/>
        <w:keepLines w:val="false"/>
        <w:pageBreakBefore w:val="false"/>
        <w:widowControl w:val="false"/>
        <w:numPr>
          <w:ilvl w:val="1"/>
          <w:numId w:val="18"/>
        </w:numPr>
        <w:shd w:val="clear" w:fill="auto"/>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Serão</w:t>
        <w:tab/>
        <w:t>aplicadas</w:t>
        <w:tab/>
        <w:t>ao</w:t>
        <w:tab/>
        <w:t>responsável</w:t>
        <w:tab/>
        <w:t>pelas</w:t>
        <w:tab/>
        <w:t>infrações administrativas previstas na Lei 14.133/2021 as seguintes sanções: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I - advertência; </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 - multa;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III - impedimento de licitar e contratar;</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IV - declaração de inidoneidade para licitar ou contratar.</w:t>
      </w:r>
    </w:p>
    <w:p>
      <w:pPr>
        <w:pStyle w:val="normal1"/>
        <w:keepNext w:val="false"/>
        <w:keepLines w:val="false"/>
        <w:pageBreakBefore w:val="false"/>
        <w:widowControl w:val="false"/>
        <w:numPr>
          <w:ilvl w:val="1"/>
          <w:numId w:val="18"/>
        </w:numPr>
        <w:shd w:val="clear" w:fill="auto"/>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Na aplicação das sanções serão considerados: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 - a natureza e a gravidade da infração cometida;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 - as peculiaridades do caso concreto;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III- as circunstâncias agravantes ou atenuantes;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IV- os danos que dela provierem para a Administração Pública;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V- a implantação ou o aperfeiçoamento de programa de integridade, conforme normas e orientações dos órgãos de controle.</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sanção prevista no inciso I do item 20.2 será aplicada exclusivamente pela infração administrativa prevista no inciso I do item 17.1, quando não se justificar a imposição de penalidade mais grave.</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vertAlign w:val="baseline"/>
        </w:rPr>
      </w:pPr>
      <w:r>
        <w:rPr>
          <w:rFonts w:eastAsia="Arial" w:cs="Arial" w:ascii="Arial" w:hAnsi="Arial"/>
          <w:b/>
          <w:bCs/>
          <w:i w:val="false"/>
          <w:iCs w:val="false"/>
          <w:caps w:val="false"/>
          <w:smallCaps w:val="false"/>
          <w:strike w:val="false"/>
          <w:dstrike w:val="false"/>
          <w:color w:val="000000"/>
          <w:position w:val="0"/>
          <w:sz w:val="22"/>
          <w:u w:val="none"/>
          <w:vertAlign w:val="baseline"/>
        </w:rPr>
        <w:t>20.5.</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 xml:space="preserve"> A sanção prevista no inciso II do item 20.2 será calculada na forma do edital ou do contrato, e não poderá ser inferior a 0,5% (cinco décimos por cento) nem superior a 30% (trinta por cento) do valor do contrato licitado e será aplicada ao responsável por qualquer das infrações administrativas previstas no art. 155 da Lei federal 14.133/2021.</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20.6.</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sanção prevista no inciso III do item 20.2 será aplicada ao responsável pelas infrações administrativas previstas nos incisos II, III, IV, V, VI e VII do caput do art. 155 da Lei Federal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20.7.</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sanção prevista no inciso IV do item 20.2 será aplicada ao responsável pelas infrações administrativas previstas nos incisos VIII, IX, X, XI e XII do caput do art. 155 da Lei Federal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20.7.1.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sanção estabelecida no inciso IV do item 20.2 será precedida de análise jurídica e observará as seguintes regras: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20.8.</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As sanções previstas nos incisos I, III e IV do item 20.2 poderão ser aplicadas cumulativamente com a prevista no inciso II do mesmo item.</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20.9.</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20.10.</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aplicação das sanções previstas no item 20.2 não exclui, em hipótese alguma, a obrigação de reparação integral do dano causado à Administração Pública.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20.11.</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b/>
        <w:t>Na aplicação da sanção prevista no inciso II do caput do art. 156 da Lei Federal 14.133/2021, será facultada a defesa do interessado no prazo de 15 (quinze) dias úteis, contado da data de sua intimação.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b/>
        <w:t>A aplicação das sanções previstas nos incisos III e IV do caput do art. 156 da Lei Federal 14.133/2021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20.12.1.</w:t>
        <w:tab/>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Em órgão ou entidade da Administração Pública cujo quadro funcional não seja formado de servidores estatutários, a comissão a que se refere o item 20.12. será composta de 2 (dois) ou mais empregados públicos pertencentes aos seus quadros permanentes, preferencialmente com, no mínimo, 3 (três) anos de tempo de serviço no órgão ou entidade.</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20.12.2.</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20.12.3.</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Serão indeferidas pela comissão, mediante decisão fundamentada, provas ilícitas, impertinentes, desnecessárias, protelatórias ou intempestivas.</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20.12.4.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A prescrição ocorrerá em 5 (cinco) anos contados da ciência da infração pela Administração, e será:</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 - interrompida pela instauração do processo de responsabilização a que se refere o caput deste item;</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 - suspensa pela celebração de acordo de leniência previsto na Lei nº 12.846, de 1º de agosto de 2013;</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III - suspensa por decisão judicial que inviabilize a conclusão da apuração administrativa.</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20.13.</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b/>
        <w:t>Os atos previstos como infrações administrativas na Lei Federal 14.133/2021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w:t>
      </w:r>
    </w:p>
    <w:p>
      <w:pPr>
        <w:pStyle w:val="normal1"/>
        <w:keepNext w:val="false"/>
        <w:keepLines w:val="false"/>
        <w:pageBreakBefore w:val="false"/>
        <w:widowControl w:val="false"/>
        <w:shd w:val="clear" w:fill="auto"/>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20.14.</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b/>
        <w:t>As multas e demais sanções aqui previstas serão aplicadas sem prejuízo das sanções civis ou penais cabíveis ou de processo administrativo;</w:t>
      </w:r>
    </w:p>
    <w:p>
      <w:pPr>
        <w:pStyle w:val="normal1"/>
        <w:keepNext w:val="false"/>
        <w:keepLines w:val="false"/>
        <w:pageBreakBefore w:val="false"/>
        <w:widowControl w:val="false"/>
        <w:shd w:val="clear" w:fill="auto"/>
        <w:spacing w:lineRule="auto" w:line="360" w:before="0" w:after="0"/>
        <w:ind w:hanging="0" w:start="284" w:end="25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numPr>
          <w:ilvl w:val="0"/>
          <w:numId w:val="18"/>
        </w:numPr>
        <w:shd w:val="clear" w:fill="auto"/>
        <w:tabs>
          <w:tab w:val="clear" w:pos="720"/>
          <w:tab w:val="left" w:pos="540" w:leader="none"/>
        </w:tabs>
        <w:spacing w:lineRule="auto" w:line="360" w:before="0" w:after="0"/>
        <w:ind w:hanging="0" w:start="284" w:end="250"/>
        <w:jc w:val="both"/>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DAS DISPOSIÇÕES FINAIS</w:t>
      </w:r>
    </w:p>
    <w:p>
      <w:pPr>
        <w:pStyle w:val="normal1"/>
        <w:keepNext w:val="false"/>
        <w:keepLines w:val="false"/>
        <w:pageBreakBefore w:val="false"/>
        <w:widowControl w:val="false"/>
        <w:numPr>
          <w:ilvl w:val="1"/>
          <w:numId w:val="18"/>
        </w:numPr>
        <w:shd w:val="clear" w:fill="auto"/>
        <w:tabs>
          <w:tab w:val="clear" w:pos="720"/>
          <w:tab w:val="left" w:pos="740"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Os pedidos de esclarecimentos referentes ao processo licitatório deverão ser enviados ao Agente de Contratação, exclusivamente por meio eletrônico, até 03 (três) dias úteis anteriores à data fixada para abertura da sessão pública, pelo e-mail </w:t>
      </w:r>
      <w:hyperlink r:id="rId13">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gerencialicitacao@pmf.sc.gov.br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conforme estabelece o art. 164 da Lei Federal 14.133/21.</w:t>
      </w:r>
    </w:p>
    <w:p>
      <w:pPr>
        <w:pStyle w:val="normal1"/>
        <w:keepNext w:val="false"/>
        <w:keepLines w:val="false"/>
        <w:pageBreakBefore w:val="false"/>
        <w:widowControl w:val="false"/>
        <w:numPr>
          <w:ilvl w:val="2"/>
          <w:numId w:val="18"/>
        </w:numPr>
        <w:shd w:val="clear" w:fill="auto"/>
        <w:tabs>
          <w:tab w:val="clear" w:pos="720"/>
          <w:tab w:val="left" w:pos="916"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 Agente de Contratação responderá aos pedidos de esclarecimentos no prazo de até 03 (três) dias úteis, limitado ao último dia útil anterior à data da abertura do certame, contado da data de recebimento do pedido, e ficarão disponíveis para todos os interessados nos endereços eletrônicos:  </w:t>
      </w:r>
      <w:hyperlink r:id="rId14">
        <w:r>
          <w:rPr>
            <w:rStyle w:val="Style3"/>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www.pmf.sc.gov.br</w:t>
        </w:r>
      </w:hyperlink>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 xml:space="preserve">  e  </w:t>
      </w:r>
      <w:hyperlink r:id="rId15">
        <w:r>
          <w:rPr>
            <w:rStyle w:val="Style3"/>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www.gov.br/compras/pt-br.</w:t>
        </w:r>
      </w:hyperlink>
    </w:p>
    <w:p>
      <w:pPr>
        <w:pStyle w:val="normal1"/>
        <w:keepNext w:val="false"/>
        <w:keepLines w:val="false"/>
        <w:pageBreakBefore w:val="false"/>
        <w:widowControl w:val="false"/>
        <w:numPr>
          <w:ilvl w:val="1"/>
          <w:numId w:val="18"/>
        </w:numPr>
        <w:shd w:val="clear" w:fill="auto"/>
        <w:tabs>
          <w:tab w:val="clear" w:pos="720"/>
          <w:tab w:val="left" w:pos="768"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Os pedidos de vistas acerca da presente licitação para os participantes do processo deverão ser realizados pelo e-mail </w:t>
      </w:r>
      <w:hyperlink r:id="rId16">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gerencialicitacao@pmf.sc.gov.br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w:t>
      </w:r>
    </w:p>
    <w:p>
      <w:pPr>
        <w:pStyle w:val="normal1"/>
        <w:keepNext w:val="false"/>
        <w:keepLines w:val="false"/>
        <w:pageBreakBefore w:val="false"/>
        <w:widowControl w:val="false"/>
        <w:numPr>
          <w:ilvl w:val="1"/>
          <w:numId w:val="18"/>
        </w:numPr>
        <w:shd w:val="clear" w:fill="auto"/>
        <w:tabs>
          <w:tab w:val="clear" w:pos="720"/>
          <w:tab w:val="left" w:pos="763"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É facultado ao Agente de Contratação ou à autoridade superior, em qualquer fase desta licitação, promover diligência destinada a esclarecer ou complementar a instrução do processo, nos termos do art. 64, da Lei n º 14.133/21.</w:t>
      </w:r>
    </w:p>
    <w:p>
      <w:pPr>
        <w:pStyle w:val="normal1"/>
        <w:keepNext w:val="false"/>
        <w:keepLines w:val="false"/>
        <w:pageBreakBefore w:val="false"/>
        <w:widowControl w:val="false"/>
        <w:numPr>
          <w:ilvl w:val="2"/>
          <w:numId w:val="18"/>
        </w:numPr>
        <w:shd w:val="clear" w:fill="auto"/>
        <w:tabs>
          <w:tab w:val="clear" w:pos="720"/>
          <w:tab w:val="left" w:pos="975"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Havendo a necessidade de envio de documentos complementares necessários à confirmação daqueles exigidos neste Edital e já apresentados, o proponente será convocado a encaminhá-los, via sistema, sob pena de desclassificação/inabilitação, no prazo mínimo de 2 (duas) horas, conforme estabelecido pelo Agente de Contratação no momento da convocação.</w:t>
      </w:r>
    </w:p>
    <w:p>
      <w:pPr>
        <w:pStyle w:val="normal1"/>
        <w:keepNext w:val="false"/>
        <w:keepLines w:val="false"/>
        <w:pageBreakBefore w:val="false"/>
        <w:widowControl w:val="false"/>
        <w:numPr>
          <w:ilvl w:val="2"/>
          <w:numId w:val="18"/>
        </w:numPr>
        <w:shd w:val="clear" w:fill="auto"/>
        <w:tabs>
          <w:tab w:val="clear" w:pos="720"/>
          <w:tab w:val="left" w:pos="919" w:leader="none"/>
        </w:tabs>
        <w:spacing w:lineRule="auto" w:line="360" w:before="0" w:after="0"/>
        <w:ind w:hanging="0" w:start="0" w:end="250"/>
        <w:jc w:val="both"/>
        <w:rPr>
          <w:rFonts w:ascii="Arial" w:hAnsi="Arial" w:eastAsia="Arial" w:cs="Arial"/>
          <w:b w:val="false"/>
          <w:bCs w:val="false"/>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As normas disciplinadoras da licitação serão sempre interpretadas em favor da ampliação da disputa entre os participantes, desde que não comprometam o interesse da Administração, a finalidade e a segurança da contratação.</w:t>
      </w:r>
    </w:p>
    <w:p>
      <w:pPr>
        <w:pStyle w:val="normal1"/>
        <w:keepNext w:val="false"/>
        <w:keepLines w:val="false"/>
        <w:pageBreakBefore w:val="false"/>
        <w:widowControl w:val="false"/>
        <w:numPr>
          <w:ilvl w:val="1"/>
          <w:numId w:val="18"/>
        </w:numPr>
        <w:shd w:val="clear" w:fill="auto"/>
        <w:tabs>
          <w:tab w:val="clear" w:pos="720"/>
          <w:tab w:val="left" w:pos="72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proponente que vier a ser contratado ficará obrigado a aceitar, nas mesmas condições contratuais, os acréscimos ou supressões sobre o valor inicial do contrato que se fizerem necessários, por conveniência do Contratante, dentro do limite permitido pelo art 125 da Lei nº 14.133/21.</w:t>
      </w:r>
    </w:p>
    <w:p>
      <w:pPr>
        <w:pStyle w:val="normal1"/>
        <w:keepNext w:val="false"/>
        <w:keepLines w:val="false"/>
        <w:pageBreakBefore w:val="false"/>
        <w:widowControl w:val="false"/>
        <w:numPr>
          <w:ilvl w:val="1"/>
          <w:numId w:val="18"/>
        </w:numPr>
        <w:shd w:val="clear" w:fill="auto"/>
        <w:tabs>
          <w:tab w:val="clear" w:pos="720"/>
          <w:tab w:val="left" w:pos="72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É facultado à proponente visitar o local da obra, não podendo posteriormente alegar desconhecimento.</w:t>
      </w:r>
    </w:p>
    <w:p>
      <w:pPr>
        <w:pStyle w:val="normal1"/>
        <w:keepNext w:val="false"/>
        <w:keepLines w:val="false"/>
        <w:pageBreakBefore w:val="false"/>
        <w:widowControl w:val="false"/>
        <w:numPr>
          <w:ilvl w:val="1"/>
          <w:numId w:val="18"/>
        </w:numPr>
        <w:shd w:val="clear" w:fill="auto"/>
        <w:tabs>
          <w:tab w:val="clear" w:pos="720"/>
          <w:tab w:val="left" w:pos="732"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A </w:t>
      </w:r>
      <w:r>
        <w:rPr>
          <w:rFonts w:eastAsia="Arial" w:cs="Arial" w:ascii="Arial" w:hAnsi="Arial"/>
        </w:rPr>
        <w:t>Secretaria Municipal de Planejamento, Habitação e Desenvolvimento Urbano</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poderá revogar a presente Concorrência por razões de interesse público decorrente de fato superveniente devidamente comprovado, pertinente e suficiente para justificar o ato, ou anulá-lo por ilegalidade, de ofício ou por provocação de terceiros, mediante parecer escrito e devidamente fundamentado.</w:t>
      </w:r>
    </w:p>
    <w:p>
      <w:pPr>
        <w:pStyle w:val="normal1"/>
        <w:keepNext w:val="false"/>
        <w:keepLines w:val="false"/>
        <w:pageBreakBefore w:val="false"/>
        <w:widowControl w:val="false"/>
        <w:numPr>
          <w:ilvl w:val="1"/>
          <w:numId w:val="18"/>
        </w:numPr>
        <w:shd w:val="clear" w:fill="auto"/>
        <w:tabs>
          <w:tab w:val="clear" w:pos="720"/>
          <w:tab w:val="left" w:pos="733"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O presente Edital e seus Anexos poderão ser alterados pela Administração antes de aberta a licitação, no interesse público, por sua iniciativa ou decorrente de provocação de terceiros, atendido o que estabelece o art.55, § 1º, da Lei 14.133/21, bem como adiar ou prorrogar o prazo para recebimento e/ou a abertura das Propostas e Documentos de Habilitação.</w:t>
      </w:r>
    </w:p>
    <w:p>
      <w:pPr>
        <w:pStyle w:val="normal1"/>
        <w:keepNext w:val="false"/>
        <w:keepLines w:val="false"/>
        <w:pageBreakBefore w:val="false"/>
        <w:widowControl w:val="false"/>
        <w:numPr>
          <w:ilvl w:val="1"/>
          <w:numId w:val="18"/>
        </w:numPr>
        <w:shd w:val="clear" w:fill="auto"/>
        <w:tabs>
          <w:tab w:val="clear" w:pos="720"/>
          <w:tab w:val="left" w:pos="735"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Ficam vinculados a este Edital e seus anexos as propostas de preços e demais documentos constantes dos presentes autos, dele não podendo se afastar durante a sua vigência;</w:t>
      </w:r>
    </w:p>
    <w:p>
      <w:pPr>
        <w:pStyle w:val="normal1"/>
        <w:keepNext w:val="false"/>
        <w:keepLines w:val="false"/>
        <w:pageBreakBefore w:val="false"/>
        <w:widowControl w:val="false"/>
        <w:numPr>
          <w:ilvl w:val="1"/>
          <w:numId w:val="18"/>
        </w:numPr>
        <w:shd w:val="clear" w:fill="auto"/>
        <w:tabs>
          <w:tab w:val="clear" w:pos="720"/>
          <w:tab w:val="left" w:pos="724"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Serão aplicadas, em caso de vício ou defeito, além da Lei de Licitações, as disposições contidas no Código de Defesa do Consumidor – Lei nº 8.078/90, inclusive no que concerne a garantia, prazo para atendimento da assistência técnica e demais normas disciplinadoras da matéria.</w:t>
      </w:r>
    </w:p>
    <w:p>
      <w:pPr>
        <w:pStyle w:val="normal1"/>
        <w:keepNext w:val="false"/>
        <w:keepLines w:val="false"/>
        <w:pageBreakBefore w:val="false"/>
        <w:widowControl w:val="false"/>
        <w:numPr>
          <w:ilvl w:val="1"/>
          <w:numId w:val="18"/>
        </w:numPr>
        <w:shd w:val="clear" w:fill="auto"/>
        <w:tabs>
          <w:tab w:val="clear" w:pos="720"/>
          <w:tab w:val="left" w:pos="915"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Nenhuma indenização será devida aos proponentes pela elaboração ou pela apresentação de documentação referente ao presente Edital.</w:t>
      </w:r>
    </w:p>
    <w:p>
      <w:pPr>
        <w:pStyle w:val="normal1"/>
        <w:keepNext w:val="false"/>
        <w:keepLines w:val="false"/>
        <w:pageBreakBefore w:val="false"/>
        <w:widowControl w:val="false"/>
        <w:numPr>
          <w:ilvl w:val="1"/>
          <w:numId w:val="18"/>
        </w:numPr>
        <w:shd w:val="clear" w:fill="auto"/>
        <w:tabs>
          <w:tab w:val="clear" w:pos="720"/>
          <w:tab w:val="left" w:pos="881"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A participação na presente licitação implicará na aceitação integral e irretratável dos termos deste Edital, seus anexos, bem como a observância dos regulamentos administrativos.</w:t>
      </w:r>
    </w:p>
    <w:p>
      <w:pPr>
        <w:pStyle w:val="normal1"/>
        <w:keepNext w:val="false"/>
        <w:keepLines w:val="false"/>
        <w:pageBreakBefore w:val="false"/>
        <w:widowControl w:val="false"/>
        <w:numPr>
          <w:ilvl w:val="1"/>
          <w:numId w:val="18"/>
        </w:numPr>
        <w:shd w:val="clear" w:fill="auto"/>
        <w:tabs>
          <w:tab w:val="clear" w:pos="720"/>
          <w:tab w:val="left" w:pos="847" w:leader="none"/>
        </w:tabs>
        <w:spacing w:lineRule="auto" w:line="360" w:before="0" w:after="0"/>
        <w:ind w:hanging="0" w:start="0" w:end="250"/>
        <w:jc w:val="both"/>
        <w:rPr>
          <w:rFonts w:ascii="Arial" w:hAnsi="Arial" w:eastAsia="Arial" w:cs="Arial"/>
          <w:i w:val="false"/>
          <w:iCs w:val="false"/>
          <w:caps w:val="false"/>
          <w:smallCaps w:val="false"/>
          <w:strike w:val="false"/>
          <w:dstrike w:val="false"/>
          <w:color w:val="000000"/>
          <w:position w:val="0"/>
          <w:sz w:val="22"/>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Todas as informações/alterações relativas ao presente certame serão postadas nos endereços eletrônicos: </w:t>
      </w:r>
      <w:hyperlink r:id="rId17">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www.pmf.sc.gov.br</w:t>
        </w:r>
      </w:hyperlink>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xml:space="preserve"> e </w:t>
      </w:r>
      <w:hyperlink r:id="rId18">
        <w:r>
          <w:rPr>
            <w:rStyle w:val="Style3"/>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www.gov.br/compras/pt-b</w:t>
        </w:r>
      </w:hyperlink>
      <w:r>
        <w:rPr>
          <w:rFonts w:eastAsia="Arial" w:cs="Arial" w:ascii="Arial" w:hAnsi="Arial"/>
          <w:b w:val="false"/>
          <w:bCs w:val="false"/>
          <w:i w:val="false"/>
          <w:iCs w:val="false"/>
          <w:caps w:val="false"/>
          <w:smallCaps w:val="false"/>
          <w:strike w:val="false"/>
          <w:dstrike w:val="false"/>
          <w:color w:val="000000"/>
          <w:position w:val="0"/>
          <w:sz w:val="22"/>
          <w:u w:val="single"/>
          <w:shd w:fill="auto" w:val="clear"/>
          <w:vertAlign w:val="baseline"/>
        </w:rPr>
        <w:t>r</w:t>
      </w: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t>, sendo de exclusiva responsabilidade do interessado o seu acompanhamento.</w:t>
      </w:r>
    </w:p>
    <w:p>
      <w:pPr>
        <w:pStyle w:val="normal1"/>
        <w:keepNext w:val="false"/>
        <w:keepLines w:val="false"/>
        <w:pageBreakBefore w:val="false"/>
        <w:widowControl w:val="false"/>
        <w:shd w:val="clear" w:fill="auto"/>
        <w:tabs>
          <w:tab w:val="clear" w:pos="720"/>
          <w:tab w:val="left" w:pos="847" w:leader="none"/>
        </w:tabs>
        <w:spacing w:lineRule="auto" w:line="360" w:before="0" w:after="0"/>
        <w:ind w:hanging="0" w:start="480" w:end="250"/>
        <w:jc w:val="both"/>
        <w:rPr>
          <w:rFonts w:ascii="Arial" w:hAnsi="Arial" w:eastAsia="Arial" w:cs="Arial"/>
        </w:rPr>
      </w:pPr>
      <w:r>
        <w:rPr>
          <w:rFonts w:eastAsia="Arial" w:cs="Arial" w:ascii="Arial" w:hAnsi="Arial"/>
        </w:rPr>
      </w:r>
    </w:p>
    <w:p>
      <w:pPr>
        <w:pStyle w:val="normal1"/>
        <w:keepNext w:val="true"/>
        <w:keepLines w:val="false"/>
        <w:pageBreakBefore w:val="false"/>
        <w:widowControl/>
        <w:numPr>
          <w:ilvl w:val="4"/>
          <w:numId w:val="28"/>
        </w:numPr>
        <w:shd w:val="clear" w:fill="auto"/>
        <w:spacing w:lineRule="auto" w:line="360" w:before="0" w:after="0"/>
        <w:ind w:hanging="1008" w:start="0" w:end="0"/>
        <w:jc w:val="end"/>
        <w:rPr>
          <w:rFonts w:ascii="Arial" w:hAnsi="Arial" w:eastAsia="Arial" w:cs="Arial"/>
          <w:b/>
          <w:bCs/>
          <w:i w:val="false"/>
          <w:iCs w:val="false"/>
          <w:caps w:val="false"/>
          <w:smallCaps w:val="false"/>
          <w:strike w:val="false"/>
          <w:dstrike w:val="false"/>
          <w:color w:val="000000"/>
          <w:position w:val="0"/>
          <w:sz w:val="22"/>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Florianópolis, 29 de junho de 202</w:t>
      </w:r>
      <w:r>
        <w:rPr>
          <w:rFonts w:eastAsia="Arial" w:cs="Arial" w:ascii="Arial" w:hAnsi="Arial"/>
        </w:rPr>
        <w:t>6</w:t>
      </w:r>
      <w:r>
        <w:rPr>
          <w:rFonts w:eastAsia="Arial" w:cs="Arial" w:ascii="Arial" w:hAnsi="Arial"/>
          <w:b w:val="false"/>
          <w:bCs w:val="false"/>
          <w:i w:val="false"/>
          <w:iCs w:val="false"/>
          <w:caps w:val="false"/>
          <w:smallCaps w:val="false"/>
          <w:strike w:val="false"/>
          <w:dstrike w:val="false"/>
          <w:color w:val="000000"/>
          <w:position w:val="0"/>
          <w:sz w:val="22"/>
          <w:u w:val="none"/>
          <w:vertAlign w:val="baseline"/>
        </w:rPr>
        <w:t>.</w:t>
      </w:r>
    </w:p>
    <w:p>
      <w:pPr>
        <w:pStyle w:val="normal1"/>
        <w:keepNext w:val="true"/>
        <w:keepLines w:val="false"/>
        <w:pageBreakBefore w:val="false"/>
        <w:widowControl/>
        <w:numPr>
          <w:ilvl w:val="1"/>
          <w:numId w:val="28"/>
        </w:numPr>
        <w:shd w:val="clear" w:fill="auto"/>
        <w:spacing w:lineRule="auto" w:line="360" w:before="0" w:after="0"/>
        <w:ind w:hanging="0" w:start="0" w:end="0"/>
        <w:jc w:val="center"/>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shd w:fill="auto" w:val="clear"/>
          <w:vertAlign w:val="baseline"/>
        </w:rPr>
      </w:r>
    </w:p>
    <w:p>
      <w:pPr>
        <w:pStyle w:val="normal1"/>
        <w:keepNext w:val="true"/>
        <w:keepLines w:val="false"/>
        <w:pageBreakBefore w:val="false"/>
        <w:widowControl/>
        <w:numPr>
          <w:ilvl w:val="4"/>
          <w:numId w:val="28"/>
        </w:numPr>
        <w:shd w:val="clear" w:fill="auto"/>
        <w:spacing w:lineRule="auto" w:line="360" w:before="0" w:after="0"/>
        <w:ind w:hanging="1009" w:start="0" w:end="0"/>
        <w:jc w:val="center"/>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shd w:fill="auto" w:val="clear"/>
          <w:vertAlign w:val="baseline"/>
        </w:rPr>
      </w:r>
    </w:p>
    <w:p>
      <w:pPr>
        <w:pStyle w:val="normal1"/>
        <w:keepNext w:val="true"/>
        <w:keepLines w:val="false"/>
        <w:pageBreakBefore w:val="false"/>
        <w:widowControl/>
        <w:numPr>
          <w:ilvl w:val="4"/>
          <w:numId w:val="28"/>
        </w:numPr>
        <w:shd w:val="clear" w:fill="auto"/>
        <w:spacing w:lineRule="auto" w:line="360" w:before="0" w:after="0"/>
        <w:ind w:hanging="1009" w:start="0" w:end="0"/>
        <w:jc w:val="center"/>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shd w:fill="auto" w:val="clear"/>
          <w:vertAlign w:val="baseline"/>
        </w:rPr>
      </w:r>
    </w:p>
    <w:p>
      <w:pPr>
        <w:pStyle w:val="normal1"/>
        <w:keepNext w:val="true"/>
        <w:keepLines w:val="false"/>
        <w:pageBreakBefore w:val="false"/>
        <w:widowControl/>
        <w:numPr>
          <w:ilvl w:val="4"/>
          <w:numId w:val="28"/>
        </w:numPr>
        <w:shd w:val="clear" w:fill="auto"/>
        <w:spacing w:lineRule="auto" w:line="360" w:before="0" w:after="0"/>
        <w:ind w:hanging="1009" w:start="0" w:end="0"/>
        <w:jc w:val="center"/>
        <w:rPr>
          <w:rFonts w:ascii="Arial" w:hAnsi="Arial" w:eastAsia="Arial" w:cs="Arial"/>
          <w:b/>
          <w:bCs/>
          <w:i w:val="false"/>
          <w:iCs w:val="false"/>
          <w:caps w:val="false"/>
          <w:smallCaps w:val="false"/>
          <w:strike w:val="false"/>
          <w:dstrike w:val="false"/>
          <w:color w:val="000000"/>
          <w:position w:val="0"/>
          <w:sz w:val="22"/>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t>_____________________________</w:t>
      </w:r>
    </w:p>
    <w:p>
      <w:pPr>
        <w:pStyle w:val="normal1"/>
        <w:widowControl/>
        <w:numPr>
          <w:ilvl w:val="4"/>
          <w:numId w:val="28"/>
        </w:numPr>
        <w:tabs>
          <w:tab w:val="clear" w:pos="720"/>
          <w:tab w:val="left" w:pos="3630" w:leader="none"/>
        </w:tabs>
        <w:jc w:val="center"/>
        <w:rPr>
          <w:rFonts w:ascii="Arial" w:hAnsi="Arial" w:eastAsia="Arial" w:cs="Arial"/>
          <w:b/>
          <w:bCs/>
        </w:rPr>
      </w:pPr>
      <w:r>
        <w:rPr>
          <w:rFonts w:eastAsia="Arial" w:cs="Arial" w:ascii="Arial" w:hAnsi="Arial"/>
          <w:b/>
          <w:bCs/>
        </w:rPr>
        <w:t>RAFAEL HAHNE</w:t>
      </w:r>
    </w:p>
    <w:p>
      <w:pPr>
        <w:pStyle w:val="normal1"/>
        <w:numPr>
          <w:ilvl w:val="4"/>
          <w:numId w:val="28"/>
        </w:numPr>
        <w:tabs>
          <w:tab w:val="clear" w:pos="720"/>
          <w:tab w:val="left" w:pos="675" w:leader="none"/>
        </w:tabs>
        <w:spacing w:lineRule="auto" w:line="360"/>
        <w:ind w:hanging="1008" w:start="1008" w:end="260"/>
        <w:jc w:val="center"/>
        <w:rPr>
          <w:rFonts w:ascii="Arial" w:hAnsi="Arial" w:eastAsia="Arial" w:cs="Arial"/>
        </w:rPr>
      </w:pPr>
      <w:r>
        <w:rPr>
          <w:rFonts w:eastAsia="Arial" w:cs="Arial" w:ascii="Arial" w:hAnsi="Arial"/>
        </w:rPr>
        <w:t>Secretaria Municipal de Planejamento, Habitação e Desenvolvimento Urbano</w:t>
      </w:r>
    </w:p>
    <w:p>
      <w:pPr>
        <w:pStyle w:val="normal1"/>
        <w:keepNext w:val="false"/>
        <w:keepLines w:val="false"/>
        <w:pageBreakBefore w:val="false"/>
        <w:widowControl w:val="false"/>
        <w:shd w:val="clear" w:fill="auto"/>
        <w:spacing w:lineRule="auto" w:line="360" w:before="0" w:after="0"/>
        <w:ind w:hanging="0" w:start="0" w:end="0"/>
        <w:jc w:val="start"/>
        <w:rPr>
          <w:rFonts w:ascii="Arial" w:hAnsi="Arial" w:eastAsia="Arial" w:cs="Arial"/>
          <w:b w:val="false"/>
          <w:bCs w:val="false"/>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val="false"/>
          <w:bCs w:val="false"/>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shd w:val="clear" w:fill="auto"/>
        <w:spacing w:lineRule="auto" w:line="360" w:before="1" w:after="0"/>
        <w:ind w:hanging="0" w:start="0" w:end="9"/>
        <w:jc w:val="center"/>
        <w:rPr>
          <w:rFonts w:ascii="Arial" w:hAnsi="Arial" w:eastAsia="Arial" w:cs="Arial"/>
          <w:b/>
          <w:bCs/>
          <w:i w:val="false"/>
          <w:iCs w:val="false"/>
          <w:caps w:val="false"/>
          <w:smallCaps w:val="false"/>
          <w:strike w:val="false"/>
          <w:dstrike w:val="false"/>
          <w:color w:val="000000"/>
          <w:position w:val="0"/>
          <w:sz w:val="22"/>
          <w:u w:val="none"/>
          <w:shd w:fill="auto" w:val="clear"/>
          <w:vertAlign w:val="baseline"/>
        </w:rPr>
      </w:pPr>
      <w:r>
        <w:rPr>
          <w:rFonts w:eastAsia="Arial" w:cs="Arial" w:ascii="Arial" w:hAnsi="Arial"/>
          <w:b/>
          <w:bCs/>
          <w:i w:val="false"/>
          <w:iCs w:val="false"/>
          <w:caps w:val="false"/>
          <w:smallCaps w:val="false"/>
          <w:strike w:val="false"/>
          <w:dstrike w:val="false"/>
          <w:color w:val="000000"/>
          <w:position w:val="0"/>
          <w:sz w:val="22"/>
          <w:u w:val="none"/>
          <w:shd w:fill="auto" w:val="clear"/>
          <w:vertAlign w:val="baseline"/>
        </w:rPr>
      </w:r>
    </w:p>
    <w:p>
      <w:pPr>
        <w:pStyle w:val="normal1"/>
        <w:keepNext w:val="false"/>
        <w:keepLines w:val="false"/>
        <w:pageBreakBefore w:val="false"/>
        <w:widowControl w:val="false"/>
        <w:shd w:val="clear" w:fill="auto"/>
        <w:spacing w:lineRule="auto" w:line="360" w:before="1" w:after="0"/>
        <w:ind w:hanging="0" w:start="0" w:end="9"/>
        <w:jc w:val="center"/>
        <w:rPr>
          <w:rFonts w:ascii="Arial" w:hAnsi="Arial" w:eastAsia="Arial" w:cs="Arial"/>
          <w:b/>
          <w:bCs/>
        </w:rPr>
      </w:pPr>
      <w:r>
        <w:rPr>
          <w:rFonts w:eastAsia="Arial" w:cs="Arial" w:ascii="Arial" w:hAnsi="Arial"/>
          <w:b/>
          <w:bCs/>
        </w:rPr>
      </w:r>
      <w:r>
        <w:br w:type="page"/>
      </w:r>
    </w:p>
    <w:p>
      <w:pPr>
        <w:pStyle w:val="normal1"/>
        <w:spacing w:lineRule="auto" w:line="360" w:before="0" w:after="0"/>
        <w:ind w:end="9"/>
        <w:jc w:val="center"/>
        <w:rPr>
          <w:rFonts w:ascii="Arial" w:hAnsi="Arial" w:eastAsia="Arial" w:cs="Arial"/>
          <w:b/>
          <w:bCs/>
        </w:rPr>
      </w:pPr>
      <w:r>
        <w:rPr>
          <w:rFonts w:eastAsia="Arial" w:cs="Arial" w:ascii="Arial" w:hAnsi="Arial"/>
          <w:b/>
          <w:bCs/>
        </w:rPr>
        <w:t>ANEXO I – TERMO DE REFERÊNCIA</w:t>
      </w:r>
    </w:p>
    <w:p>
      <w:pPr>
        <w:pStyle w:val="normal1"/>
        <w:spacing w:lineRule="auto" w:line="360" w:before="4" w:after="0"/>
        <w:rPr>
          <w:rFonts w:ascii="Arial" w:hAnsi="Arial" w:eastAsia="Arial" w:cs="Arial"/>
          <w:b/>
          <w:bCs/>
        </w:rPr>
      </w:pPr>
      <w:r>
        <w:rPr>
          <w:rFonts w:eastAsia="Arial" w:cs="Arial" w:ascii="Arial" w:hAnsi="Arial"/>
          <w:b/>
          <w:bCs/>
        </w:rPr>
      </w:r>
    </w:p>
    <w:p>
      <w:pPr>
        <w:pStyle w:val="normal1"/>
        <w:spacing w:lineRule="auto" w:line="360"/>
        <w:jc w:val="center"/>
        <w:rPr>
          <w:rFonts w:ascii="Arial" w:hAnsi="Arial" w:eastAsia="Arial" w:cs="Arial"/>
          <w:b/>
          <w:bCs/>
        </w:rPr>
      </w:pPr>
      <w:bookmarkStart w:id="0" w:name="_heading=h.30j0zll"/>
      <w:bookmarkEnd w:id="0"/>
      <w:r>
        <w:rPr>
          <w:rFonts w:eastAsia="Arial" w:cs="Arial" w:ascii="Arial" w:hAnsi="Arial"/>
          <w:b/>
          <w:bCs/>
        </w:rPr>
        <w:t>Descrição da Especificação do Item</w:t>
      </w:r>
    </w:p>
    <w:p>
      <w:pPr>
        <w:pStyle w:val="normal1"/>
        <w:spacing w:lineRule="auto" w:line="360"/>
        <w:jc w:val="center"/>
        <w:rPr>
          <w:rFonts w:ascii="Arial" w:hAnsi="Arial" w:eastAsia="Arial" w:cs="Arial"/>
          <w:b/>
          <w:bCs/>
        </w:rPr>
      </w:pPr>
      <w:r>
        <w:rPr>
          <w:rFonts w:eastAsia="Arial" w:cs="Arial" w:ascii="Arial" w:hAnsi="Arial"/>
          <w:b/>
          <w:bCs/>
        </w:rPr>
      </w:r>
    </w:p>
    <w:tbl>
      <w:tblPr>
        <w:tblStyle w:val="Table3"/>
        <w:tblW w:w="10570" w:type="dxa"/>
        <w:jc w:val="start"/>
        <w:tblInd w:w="136" w:type="dxa"/>
        <w:tblLayout w:type="fixed"/>
        <w:tblCellMar>
          <w:top w:w="0" w:type="dxa"/>
          <w:start w:w="108" w:type="dxa"/>
          <w:bottom w:w="0" w:type="dxa"/>
          <w:end w:w="108" w:type="dxa"/>
        </w:tblCellMar>
        <w:tblLook w:val="0000"/>
      </w:tblPr>
      <w:tblGrid>
        <w:gridCol w:w="618"/>
        <w:gridCol w:w="8037"/>
        <w:gridCol w:w="1915"/>
      </w:tblGrid>
      <w:tr>
        <w:trPr>
          <w:tblHeader w:val="true"/>
          <w:trHeight w:val="216" w:hRule="atLeast"/>
          <w:cantSplit/>
        </w:trPr>
        <w:tc>
          <w:tcPr>
            <w:tcW w:w="618" w:type="dxa"/>
            <w:tcBorders>
              <w:top w:val="single" w:sz="4" w:space="0" w:color="000000"/>
              <w:start w:val="single" w:sz="4" w:space="0" w:color="000000"/>
              <w:bottom w:val="single" w:sz="4" w:space="0" w:color="000000"/>
              <w:end w:val="single" w:sz="4" w:space="0" w:color="000000"/>
            </w:tcBorders>
            <w:vAlign w:val="center"/>
          </w:tcPr>
          <w:p>
            <w:pPr>
              <w:pStyle w:val="normal1"/>
              <w:spacing w:lineRule="auto" w:line="360"/>
              <w:ind w:hanging="0" w:start="43"/>
              <w:jc w:val="center"/>
              <w:rPr>
                <w:rFonts w:ascii="Arial" w:hAnsi="Arial" w:eastAsia="Arial" w:cs="Arial"/>
                <w:b/>
                <w:bCs/>
              </w:rPr>
            </w:pPr>
            <w:r>
              <w:rPr>
                <w:rFonts w:eastAsia="Arial" w:cs="Arial" w:ascii="Arial" w:hAnsi="Arial"/>
                <w:b/>
                <w:bCs/>
              </w:rPr>
              <w:t>Item</w:t>
            </w:r>
          </w:p>
        </w:tc>
        <w:tc>
          <w:tcPr>
            <w:tcW w:w="8037" w:type="dxa"/>
            <w:tcBorders>
              <w:top w:val="single" w:sz="4" w:space="0" w:color="000000"/>
              <w:start w:val="single" w:sz="4" w:space="0" w:color="000000"/>
              <w:bottom w:val="single" w:sz="4" w:space="0" w:color="000000"/>
              <w:end w:val="single" w:sz="4" w:space="0" w:color="000000"/>
            </w:tcBorders>
            <w:vAlign w:val="center"/>
          </w:tcPr>
          <w:p>
            <w:pPr>
              <w:pStyle w:val="normal1"/>
              <w:spacing w:lineRule="auto" w:line="360"/>
              <w:ind w:hanging="0" w:start="309" w:end="270"/>
              <w:jc w:val="center"/>
              <w:rPr>
                <w:rFonts w:ascii="Arial" w:hAnsi="Arial" w:eastAsia="Arial" w:cs="Arial"/>
                <w:b/>
                <w:bCs/>
              </w:rPr>
            </w:pPr>
            <w:r>
              <w:rPr>
                <w:rFonts w:eastAsia="Arial" w:cs="Arial" w:ascii="Arial" w:hAnsi="Arial"/>
                <w:b/>
                <w:bCs/>
              </w:rPr>
              <w:t>Descrição</w:t>
            </w:r>
          </w:p>
        </w:tc>
        <w:tc>
          <w:tcPr>
            <w:tcW w:w="1915" w:type="dxa"/>
            <w:tcBorders>
              <w:top w:val="single" w:sz="4" w:space="0" w:color="000000"/>
              <w:start w:val="single" w:sz="4" w:space="0" w:color="000000"/>
              <w:bottom w:val="single" w:sz="4" w:space="0" w:color="000000"/>
              <w:end w:val="single" w:sz="4" w:space="0" w:color="000000"/>
            </w:tcBorders>
            <w:vAlign w:val="center"/>
          </w:tcPr>
          <w:p>
            <w:pPr>
              <w:pStyle w:val="normal1"/>
              <w:spacing w:lineRule="auto" w:line="360"/>
              <w:ind w:hanging="0" w:start="346"/>
              <w:jc w:val="center"/>
              <w:rPr>
                <w:rFonts w:ascii="Arial" w:hAnsi="Arial" w:eastAsia="Arial" w:cs="Arial"/>
                <w:b/>
                <w:bCs/>
              </w:rPr>
            </w:pPr>
            <w:r>
              <w:rPr>
                <w:rFonts w:eastAsia="Arial" w:cs="Arial" w:ascii="Arial" w:hAnsi="Arial"/>
                <w:b/>
                <w:bCs/>
              </w:rPr>
              <w:t>Valor</w:t>
            </w:r>
          </w:p>
        </w:tc>
      </w:tr>
      <w:tr>
        <w:trPr>
          <w:tblHeader w:val="true"/>
          <w:trHeight w:val="350" w:hRule="atLeast"/>
          <w:cantSplit/>
        </w:trPr>
        <w:tc>
          <w:tcPr>
            <w:tcW w:w="618" w:type="dxa"/>
            <w:tcBorders>
              <w:top w:val="single" w:sz="4" w:space="0" w:color="000000"/>
              <w:start w:val="single" w:sz="4" w:space="0" w:color="000000"/>
              <w:bottom w:val="single" w:sz="4" w:space="0" w:color="000000"/>
              <w:end w:val="single" w:sz="4" w:space="0" w:color="000000"/>
            </w:tcBorders>
            <w:vAlign w:val="center"/>
          </w:tcPr>
          <w:p>
            <w:pPr>
              <w:pStyle w:val="normal1"/>
              <w:spacing w:lineRule="auto" w:line="360"/>
              <w:ind w:hanging="0" w:start="38"/>
              <w:jc w:val="center"/>
              <w:rPr>
                <w:rFonts w:ascii="Arial" w:hAnsi="Arial" w:eastAsia="Arial" w:cs="Arial"/>
              </w:rPr>
            </w:pPr>
            <w:r>
              <w:rPr>
                <w:rFonts w:eastAsia="Arial" w:cs="Arial" w:ascii="Arial" w:hAnsi="Arial"/>
              </w:rPr>
              <w:t>01</w:t>
            </w:r>
          </w:p>
        </w:tc>
        <w:tc>
          <w:tcPr>
            <w:tcW w:w="8037" w:type="dxa"/>
            <w:tcBorders>
              <w:top w:val="single" w:sz="4" w:space="0" w:color="000000"/>
              <w:start w:val="single" w:sz="4" w:space="0" w:color="000000"/>
              <w:bottom w:val="single" w:sz="4" w:space="0" w:color="000000"/>
              <w:end w:val="single" w:sz="4" w:space="0" w:color="000000"/>
            </w:tcBorders>
            <w:vAlign w:val="center"/>
          </w:tcPr>
          <w:p>
            <w:pPr>
              <w:pStyle w:val="normal1"/>
              <w:tabs>
                <w:tab w:val="clear" w:pos="720"/>
                <w:tab w:val="left" w:pos="284" w:leader="none"/>
                <w:tab w:val="left" w:pos="1245" w:leader="none"/>
              </w:tabs>
              <w:spacing w:lineRule="auto" w:line="360" w:before="0" w:after="160"/>
              <w:jc w:val="center"/>
              <w:rPr>
                <w:rFonts w:ascii="Arial" w:hAnsi="Arial" w:eastAsia="Arial" w:cs="Arial"/>
              </w:rPr>
            </w:pPr>
            <w:r>
              <w:rPr>
                <w:rFonts w:eastAsia="Arial" w:cs="Arial" w:ascii="Arial" w:hAnsi="Arial"/>
              </w:rPr>
              <w:t>Contratação de empresa especializada para execução de serviços de execução de drenagem e pavimentação com lajotas novas e usadas para conservação do sistema viário de Florianópolis.</w:t>
            </w:r>
          </w:p>
        </w:tc>
        <w:tc>
          <w:tcPr>
            <w:tcW w:w="1915" w:type="dxa"/>
            <w:tcBorders>
              <w:top w:val="single" w:sz="4" w:space="0" w:color="000000"/>
              <w:start w:val="single" w:sz="4" w:space="0" w:color="000000"/>
              <w:bottom w:val="single" w:sz="4" w:space="0" w:color="000000"/>
              <w:end w:val="single" w:sz="4" w:space="0" w:color="000000"/>
            </w:tcBorders>
            <w:vAlign w:val="center"/>
          </w:tcPr>
          <w:p>
            <w:pPr>
              <w:pStyle w:val="normal1"/>
              <w:spacing w:lineRule="auto" w:line="360"/>
              <w:ind w:hanging="0" w:start="28" w:end="3"/>
              <w:jc w:val="center"/>
              <w:rPr>
                <w:rFonts w:ascii="Arial" w:hAnsi="Arial" w:eastAsia="Arial" w:cs="Arial"/>
              </w:rPr>
            </w:pPr>
            <w:r>
              <w:rPr>
                <w:rFonts w:eastAsia="Arial" w:cs="Arial" w:ascii="Arial" w:hAnsi="Arial"/>
              </w:rPr>
              <w:t>R$ 5.999.939,53</w:t>
            </w:r>
          </w:p>
        </w:tc>
      </w:tr>
    </w:tbl>
    <w:p>
      <w:pPr>
        <w:pStyle w:val="normal1"/>
        <w:widowControl/>
        <w:tabs>
          <w:tab w:val="clear" w:pos="720"/>
          <w:tab w:val="left" w:pos="3630" w:leader="none"/>
        </w:tabs>
        <w:jc w:val="center"/>
        <w:rPr>
          <w:rFonts w:ascii="Arial" w:hAnsi="Arial" w:eastAsia="Arial" w:cs="Arial"/>
          <w:b/>
          <w:bCs/>
        </w:rPr>
      </w:pPr>
      <w:r>
        <w:rPr>
          <w:rFonts w:eastAsia="Arial" w:cs="Arial" w:ascii="Arial" w:hAnsi="Arial"/>
          <w:b/>
          <w:bCs/>
        </w:rPr>
      </w:r>
      <w:r>
        <w:br w:type="page"/>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0" w:start="232"/>
        <w:jc w:val="both"/>
        <w:rPr>
          <w:rFonts w:ascii="Arial" w:hAnsi="Arial" w:eastAsia="Arial" w:cs="Arial"/>
          <w:sz w:val="24"/>
          <w:szCs w:val="24"/>
        </w:rPr>
      </w:pPr>
      <w:r>
        <w:rPr>
          <w:rFonts w:eastAsia="Arial" w:cs="Arial" w:ascii="Arial" w:hAnsi="Arial"/>
          <w:b/>
          <w:bCs/>
          <w:sz w:val="24"/>
          <w:szCs w:val="24"/>
        </w:rPr>
        <w:t xml:space="preserve">1 APRESENTAÇÃO </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Este é o Termo de Referência para a Contratação de empresa especializada para execução do objeto abaixo especificado. O presente trabalho busca esclarecer e especificar os serviços a serem contratados com o objetivo de se alcançar o perfeito entendimento dos mesmos.</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PMF I 00122034/2026</w:t>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9" w:start="360"/>
        <w:jc w:val="both"/>
        <w:rPr>
          <w:rFonts w:ascii="Arial" w:hAnsi="Arial" w:eastAsia="Arial" w:cs="Arial"/>
          <w:b/>
          <w:bCs/>
          <w:sz w:val="24"/>
          <w:szCs w:val="24"/>
        </w:rPr>
      </w:pPr>
      <w:r>
        <w:rPr>
          <w:rFonts w:eastAsia="Arial" w:cs="Arial" w:ascii="Arial" w:hAnsi="Arial"/>
          <w:b/>
          <w:bCs/>
          <w:sz w:val="24"/>
          <w:szCs w:val="24"/>
        </w:rPr>
        <w:t>OBJETO</w:t>
      </w:r>
    </w:p>
    <w:p>
      <w:pPr>
        <w:pStyle w:val="normal1"/>
        <w:widowControl/>
        <w:tabs>
          <w:tab w:val="clear" w:pos="720"/>
          <w:tab w:val="left" w:pos="284"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objeto do presente Termo de Referência é a contratação de empresa especializada para execução de serviços contínuos para a manutenção dos sistemas viários existentes e conforme justificado abaixo.</w:t>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284" w:leader="none"/>
          <w:tab w:val="left" w:pos="1245" w:leader="none"/>
        </w:tabs>
        <w:spacing w:lineRule="auto" w:line="360" w:before="0" w:after="160"/>
        <w:ind w:hanging="369" w:start="360"/>
        <w:jc w:val="both"/>
        <w:rPr>
          <w:rFonts w:ascii="Arial" w:hAnsi="Arial" w:eastAsia="Arial" w:cs="Arial"/>
          <w:b/>
          <w:bCs/>
          <w:sz w:val="24"/>
          <w:szCs w:val="24"/>
        </w:rPr>
      </w:pPr>
      <w:r>
        <w:rPr>
          <w:rFonts w:eastAsia="Arial" w:cs="Arial" w:ascii="Arial" w:hAnsi="Arial"/>
          <w:b/>
          <w:bCs/>
          <w:sz w:val="24"/>
          <w:szCs w:val="24"/>
        </w:rPr>
        <w:t>JUSTIFICATIVA</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As obras de engenharia para a drenagem e pavimentação para as obras de MANUTENÇÃO E EXECUÇÃO DE DRENAGEM E PAVIMENTAÇÃO COM LAJOTAS NOVAS (80%) E USADAS (20%) PARA CONSERVAÇÃO DO SISTEMA VIÁRIO DE FLORIANÓPOLIS e tem a necessidade de manter a infraestrutura urbana segura e trafegável, com materiais que ofereçam boa capacidade de drenagem e fácil manutenção, pois as lajotas permitem a remoção e a recolocação. O pavimento de lajota que se encontram danificadas, podendo ser substituídas por novas ou até mesmo usadas em bom estado de conservação. Está solução pode ser adotada em intervenções pontuais. </w:t>
      </w:r>
      <w:r>
        <w:rPr>
          <w:rFonts w:eastAsia="Arial" w:cs="Arial" w:ascii="Arial" w:hAnsi="Arial"/>
          <w:color w:val="111111"/>
          <w:sz w:val="24"/>
          <w:szCs w:val="24"/>
        </w:rPr>
        <w:t xml:space="preserve">A SMIMC vai implantar o sistema de drenagem nas ruas onde ainda não tem existe um sistema de drenagem adequado.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Não Parcelamento – Tendo em vista que se trata de um único objeto a obra não deve ser parcelada e compete a administração buscar o menor dispêndio possível de recursos, assegurando a qualidade da aquisição e/ou da prestação do serviço, o que exige a escolha da solução mais adequada e eficiente dentre as diversas opções existentes já por ocasião da definição do objeto e das condições da contratação, posto que é essa descrição que impulsiona a seleção da proposta mais vantajosa. Por se tratar de um serviço comum de engenharia que deverá ser efetuado para tender as demandas da Prefeitura Municipal de Florianópolis, não há como realizar uma contratação de mais um fornecedor para prestação do serviço uma vez que esse fracionamento traria prejuízos em termos de economia de escala e também maior dispêndio para gestão de inúmeros contratos.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Apesar do objeto incluir a implantação ou manutenção de drenagem pluvial não é aconselhável separar a drenagem e a pavimentação, são serviços que estão interligados, não tem com o executar a pavimentação antes da drenagem. É recomendado primeiro a execução da drenagem e depois a execução da pavimentação. Desta forma não temos como separar ou parcelar a licitação.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Caberá fiscalização a decisão do reaproveitamento ou não das lajotas existentes, pois muitas das ruas ou servidões as lajotas estão no final da vida útil, apresentando trincas e decomposição pois os agregados já se encontram expostos. As lajotas a serem reaproveitadas estão disponíveis no canteiro da SMI.</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1245" w:leader="none"/>
        </w:tabs>
        <w:spacing w:lineRule="auto" w:line="360" w:before="0" w:after="160"/>
        <w:ind w:hanging="369" w:start="360"/>
        <w:jc w:val="both"/>
        <w:rPr>
          <w:rFonts w:ascii="Arial" w:hAnsi="Arial" w:eastAsia="Arial" w:cs="Arial"/>
          <w:sz w:val="24"/>
          <w:szCs w:val="24"/>
        </w:rPr>
      </w:pPr>
      <w:r>
        <w:rPr>
          <w:rFonts w:eastAsia="Arial" w:cs="Arial" w:ascii="Arial" w:hAnsi="Arial"/>
          <w:b/>
          <w:bCs/>
          <w:sz w:val="24"/>
          <w:szCs w:val="24"/>
        </w:rPr>
        <w:t>DA LICITAÇÃO</w:t>
      </w:r>
    </w:p>
    <w:p>
      <w:pPr>
        <w:pStyle w:val="normal1"/>
        <w:widowControl/>
        <w:numPr>
          <w:ilvl w:val="0"/>
          <w:numId w:val="30"/>
        </w:numPr>
        <w:tabs>
          <w:tab w:val="clear" w:pos="720"/>
          <w:tab w:val="left" w:pos="284" w:leader="none"/>
          <w:tab w:val="left" w:pos="1245" w:leader="none"/>
        </w:tabs>
        <w:spacing w:lineRule="auto" w:line="360" w:before="0" w:after="160"/>
        <w:ind w:hanging="360" w:start="1080"/>
        <w:jc w:val="both"/>
        <w:rPr>
          <w:rFonts w:ascii="Arial" w:hAnsi="Arial" w:eastAsia="Arial" w:cs="Arial"/>
          <w:sz w:val="24"/>
          <w:szCs w:val="24"/>
        </w:rPr>
      </w:pPr>
      <w:r>
        <w:rPr>
          <w:rFonts w:eastAsia="Arial" w:cs="Arial" w:ascii="Arial" w:hAnsi="Arial"/>
          <w:sz w:val="24"/>
          <w:szCs w:val="24"/>
        </w:rPr>
        <w:t>A Modalidade de disputa será por Concorrência</w:t>
      </w:r>
    </w:p>
    <w:p>
      <w:pPr>
        <w:pStyle w:val="normal1"/>
        <w:widowControl/>
        <w:numPr>
          <w:ilvl w:val="0"/>
          <w:numId w:val="30"/>
        </w:numPr>
        <w:tabs>
          <w:tab w:val="clear" w:pos="720"/>
          <w:tab w:val="left" w:pos="284" w:leader="none"/>
          <w:tab w:val="left" w:pos="1245" w:leader="none"/>
        </w:tabs>
        <w:spacing w:lineRule="auto" w:line="360" w:before="0" w:after="160"/>
        <w:ind w:hanging="360" w:start="1080"/>
        <w:jc w:val="both"/>
        <w:rPr>
          <w:rFonts w:ascii="Arial" w:hAnsi="Arial" w:eastAsia="Arial" w:cs="Arial"/>
          <w:sz w:val="24"/>
          <w:szCs w:val="24"/>
        </w:rPr>
      </w:pPr>
      <w:r>
        <w:rPr>
          <w:rFonts w:eastAsia="Arial" w:cs="Arial" w:ascii="Arial" w:hAnsi="Arial"/>
          <w:sz w:val="24"/>
          <w:szCs w:val="24"/>
        </w:rPr>
        <w:t>O critério da seleção das propostas será pelo menor preço global</w:t>
      </w:r>
    </w:p>
    <w:p>
      <w:pPr>
        <w:pStyle w:val="normal1"/>
        <w:widowControl/>
        <w:numPr>
          <w:ilvl w:val="0"/>
          <w:numId w:val="30"/>
        </w:numPr>
        <w:tabs>
          <w:tab w:val="clear" w:pos="720"/>
          <w:tab w:val="left" w:pos="284" w:leader="none"/>
          <w:tab w:val="left" w:pos="1245" w:leader="none"/>
        </w:tabs>
        <w:spacing w:lineRule="auto" w:line="360" w:before="0" w:after="160"/>
        <w:ind w:hanging="360" w:start="1080"/>
        <w:jc w:val="both"/>
        <w:rPr>
          <w:rFonts w:ascii="Arial" w:hAnsi="Arial" w:eastAsia="Arial" w:cs="Arial"/>
          <w:sz w:val="24"/>
          <w:szCs w:val="24"/>
        </w:rPr>
      </w:pPr>
      <w:r>
        <w:rPr>
          <w:rFonts w:eastAsia="Arial" w:cs="Arial" w:ascii="Arial" w:hAnsi="Arial"/>
          <w:sz w:val="24"/>
          <w:szCs w:val="24"/>
        </w:rPr>
        <w:t>Regime de Contratação será empreitada por preço unitário.</w:t>
      </w:r>
    </w:p>
    <w:p>
      <w:pPr>
        <w:pStyle w:val="normal1"/>
        <w:widowControl/>
        <w:numPr>
          <w:ilvl w:val="0"/>
          <w:numId w:val="30"/>
        </w:numPr>
        <w:tabs>
          <w:tab w:val="clear" w:pos="720"/>
          <w:tab w:val="left" w:pos="284" w:leader="none"/>
          <w:tab w:val="left" w:pos="1245" w:leader="none"/>
        </w:tabs>
        <w:spacing w:lineRule="auto" w:line="360" w:before="0" w:after="160"/>
        <w:ind w:hanging="360" w:start="1080"/>
        <w:jc w:val="both"/>
        <w:rPr>
          <w:rFonts w:ascii="Arial" w:hAnsi="Arial" w:eastAsia="Arial" w:cs="Arial"/>
          <w:sz w:val="24"/>
          <w:szCs w:val="24"/>
        </w:rPr>
      </w:pPr>
      <w:r>
        <w:rPr>
          <w:rFonts w:eastAsia="Arial" w:cs="Arial" w:ascii="Arial" w:hAnsi="Arial"/>
          <w:sz w:val="24"/>
          <w:szCs w:val="24"/>
        </w:rPr>
        <w:t>Não existe o parcelamento do objeto pois se trata de um único objeto.</w:t>
      </w:r>
    </w:p>
    <w:p>
      <w:pPr>
        <w:pStyle w:val="normal1"/>
        <w:widowControl/>
        <w:numPr>
          <w:ilvl w:val="0"/>
          <w:numId w:val="30"/>
        </w:numPr>
        <w:tabs>
          <w:tab w:val="clear" w:pos="720"/>
          <w:tab w:val="left" w:pos="284" w:leader="none"/>
          <w:tab w:val="left" w:pos="1245" w:leader="none"/>
        </w:tabs>
        <w:spacing w:lineRule="auto" w:line="360" w:before="0" w:after="160"/>
        <w:ind w:hanging="360" w:start="1080"/>
        <w:jc w:val="both"/>
        <w:rPr>
          <w:rFonts w:ascii="Arial" w:hAnsi="Arial" w:eastAsia="Arial" w:cs="Arial"/>
          <w:sz w:val="24"/>
          <w:szCs w:val="24"/>
        </w:rPr>
      </w:pPr>
      <w:r>
        <w:rPr>
          <w:rFonts w:eastAsia="Arial" w:cs="Arial" w:ascii="Arial" w:hAnsi="Arial"/>
          <w:sz w:val="24"/>
          <w:szCs w:val="24"/>
        </w:rPr>
        <w:t>A SMTI é favorável a continuidade do processo de licitação.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9" w:start="360"/>
        <w:jc w:val="both"/>
        <w:rPr>
          <w:rFonts w:ascii="Arial" w:hAnsi="Arial" w:eastAsia="Arial" w:cs="Arial"/>
          <w:b/>
          <w:bCs/>
          <w:sz w:val="24"/>
          <w:szCs w:val="24"/>
        </w:rPr>
      </w:pPr>
      <w:r>
        <w:rPr>
          <w:rFonts w:eastAsia="Arial" w:cs="Arial" w:ascii="Arial" w:hAnsi="Arial"/>
          <w:b/>
          <w:bCs/>
          <w:sz w:val="24"/>
          <w:szCs w:val="24"/>
        </w:rPr>
        <w:t>ESPECIFICAÇÕES DO OBJETO</w:t>
      </w:r>
    </w:p>
    <w:p>
      <w:pPr>
        <w:pStyle w:val="normal1"/>
        <w:widowControl/>
        <w:tabs>
          <w:tab w:val="clear" w:pos="720"/>
          <w:tab w:val="left" w:pos="1245" w:leader="none"/>
          <w:tab w:val="left" w:pos="1276" w:leader="none"/>
        </w:tabs>
        <w:spacing w:lineRule="auto" w:line="360" w:before="0" w:after="160"/>
        <w:ind w:hanging="0" w:start="360"/>
        <w:jc w:val="both"/>
        <w:rPr>
          <w:rFonts w:ascii="Arial" w:hAnsi="Arial" w:eastAsia="Arial" w:cs="Arial"/>
          <w:sz w:val="24"/>
          <w:szCs w:val="24"/>
        </w:rPr>
      </w:pPr>
      <w:r>
        <w:rPr>
          <w:rFonts w:eastAsia="Arial" w:cs="Arial" w:ascii="Arial" w:hAnsi="Arial"/>
          <w:b/>
          <w:bCs/>
          <w:sz w:val="24"/>
          <w:szCs w:val="24"/>
        </w:rPr>
        <w:t>CONVENÇÕES</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Serão utilizadas nas presentes Especificações Técnicas, além de termos e convenções consagradas pelo uso, as seguintes convenções, termos e abreviaturas:</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CONTRATANTE</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Pessoa física ou jurídica de direito, com capacidade de determinar a execução do empreendimento, correndo por sua conta as despesas inerentes ao mesmo, ou seja, a PREFEITURA MUNICIPAL DE FLORIANÓPOLIS, por sua Diretoria ou prepostos legalmente indicados, doravante denominado CONTRATANTE.</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CONTRATADA</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Pessoa física ou jurídica técnica e juridicamente habilitada, escolhida em processo licitatório executado de acordo com a legislação vigente e com as normas e procedimentos internos da CONTRATANTE, para executar as obras de acordo com os projetos e as especificações técnicas, e doravante denominado CONTRATADA.</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FISCALIZAÇÃO</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Engenheiros, arquitetos ou prepostos credenciados pela CONTRATANTE para verificar o cumprimento dos projetos, especificações técnicas, prazos de execução das obras e outras disposições contratuais, doravante denominado FISCALIZAÇÃO.</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CRONOGRAMA</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Tradução numérica, quantitativa ou gráfica do planejamento do desenvolvimento dos serviços, em razão dos tempos e dos valores envolvidos.</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ABNT</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Associação Brasileira de Normas Técnicas que definirá por suas Normas e Métodos de Ensaios as formas executivas e a qualidade dos materiais a serem empregados nas obras.</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NBR</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Normas Técnicas Brasileiras, registradas e emitidas pela ABNT, em suas versões mais recentes, segundo classes de 01 a 04, conforme as diretrizes e critérios estabelecidos pelo INMETRO.</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MB</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Método de Ensaio Brasileiro da ABNT, em sua forma mais recente.</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INMETRO</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Instituto Nacional de Metrologia, Normalização e Qualidade Industrial.</w:t>
      </w:r>
    </w:p>
    <w:p>
      <w:pPr>
        <w:pStyle w:val="normal1"/>
        <w:widowControl/>
        <w:numPr>
          <w:ilvl w:val="0"/>
          <w:numId w:val="26"/>
        </w:numPr>
        <w:spacing w:lineRule="auto" w:line="240" w:before="0" w:after="160"/>
        <w:ind w:hanging="425" w:start="851"/>
        <w:jc w:val="both"/>
        <w:rPr>
          <w:sz w:val="24"/>
          <w:szCs w:val="24"/>
        </w:rPr>
      </w:pPr>
      <w:r>
        <w:rPr>
          <w:rFonts w:eastAsia="Arial" w:cs="Arial" w:ascii="Arial" w:hAnsi="Arial"/>
          <w:b/>
          <w:bCs/>
          <w:sz w:val="24"/>
          <w:szCs w:val="24"/>
        </w:rPr>
        <w:t>NR</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Normas Regulamentadoras do Ministério do Trabalho e Emprego</w:t>
      </w:r>
    </w:p>
    <w:p>
      <w:pPr>
        <w:pStyle w:val="normal1"/>
        <w:widowControl/>
        <w:tabs>
          <w:tab w:val="clear" w:pos="720"/>
          <w:tab w:val="left" w:pos="709" w:leader="none"/>
          <w:tab w:val="left" w:pos="1245" w:leader="none"/>
        </w:tabs>
        <w:spacing w:lineRule="auto" w:line="360" w:before="0" w:after="160"/>
        <w:ind w:hanging="0" w:start="360"/>
        <w:jc w:val="both"/>
        <w:rPr>
          <w:rFonts w:ascii="Arial" w:hAnsi="Arial" w:eastAsia="Arial" w:cs="Arial"/>
          <w:sz w:val="24"/>
          <w:szCs w:val="24"/>
        </w:rPr>
      </w:pPr>
      <w:r>
        <w:rPr>
          <w:rFonts w:eastAsia="Arial" w:cs="Arial" w:ascii="Arial" w:hAnsi="Arial"/>
          <w:b/>
          <w:bCs/>
          <w:sz w:val="24"/>
          <w:szCs w:val="24"/>
        </w:rPr>
        <w:t>5.1 CONSIDERAÇÕES GERAIS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Os serviços e obras serão executados com rigorosa observância nas composições dos serviços orçados, plano de trabalhos, projetos, croquis, memoriais e respectivos detalhes, e estrita obediência às Especificações Técnicas. Caso surjam discrepâncias entre os documentos técnicos relacionados, fica estabelecido o que segue:</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Em caso de divergências entre as Especificações Técnicas e Normas Brasileiras, sempre prevalecerão às últimas;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Em casos de dúvidas quanto à interpretação dos desenhos dos projetos e das Especificações Técnicas, estas serão dirimidas pelos autores dos projetos ou pelo departamento responsável pelos mesmos;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Os serviços deverão ser executados conforme composições dos serviços da planilha orçamentária.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A CONTRATADA assumirá integral responsabilidade pela boa execução e eficiência dos serviços que executar, de acordo com as Especificações Técnicas, Projetos e Planos de Trabalho, Legislações e Autorizações Ambientais, sendo também responsável pelos danos decorrentes da má execução dos serviços.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A boa qualidade e perfeita qualificação dos materiais, serviços e instalações a cargo da CONTRATADA, serão determinados através das verificações, ensaios e provas aconselháveis para cada caso, e serão condições prévias e indispensáveis para o recebimento dos serviços executados.</w:t>
      </w:r>
    </w:p>
    <w:p>
      <w:pPr>
        <w:pStyle w:val="normal1"/>
        <w:widowControl/>
        <w:numPr>
          <w:ilvl w:val="1"/>
          <w:numId w:val="31"/>
        </w:numPr>
        <w:tabs>
          <w:tab w:val="clear" w:pos="720"/>
          <w:tab w:val="left" w:pos="709"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SUB-EMPREITADA</w:t>
      </w:r>
    </w:p>
    <w:p>
      <w:pPr>
        <w:pStyle w:val="normal1"/>
        <w:widowControl/>
        <w:numPr>
          <w:ilvl w:val="2"/>
          <w:numId w:val="31"/>
        </w:numPr>
        <w:tabs>
          <w:tab w:val="clear" w:pos="720"/>
          <w:tab w:val="left" w:pos="709" w:leader="none"/>
        </w:tabs>
        <w:spacing w:lineRule="auto" w:line="360" w:before="0" w:after="160"/>
        <w:ind w:hanging="720" w:start="1440"/>
        <w:jc w:val="both"/>
        <w:rPr>
          <w:rFonts w:ascii="Arial" w:hAnsi="Arial" w:eastAsia="Arial" w:cs="Arial"/>
          <w:b/>
          <w:bCs/>
          <w:sz w:val="24"/>
          <w:szCs w:val="24"/>
        </w:rPr>
      </w:pPr>
      <w:r>
        <w:rPr>
          <w:rFonts w:eastAsia="Arial" w:cs="Arial" w:ascii="Arial" w:hAnsi="Arial"/>
          <w:sz w:val="24"/>
          <w:szCs w:val="24"/>
        </w:rPr>
        <w:t>É vedada a subcontratação total do objeto do contrato.</w:t>
      </w:r>
    </w:p>
    <w:p>
      <w:pPr>
        <w:pStyle w:val="normal1"/>
        <w:widowControl/>
        <w:tabs>
          <w:tab w:val="clear" w:pos="720"/>
          <w:tab w:val="left" w:pos="709" w:leader="none"/>
        </w:tabs>
        <w:spacing w:lineRule="auto" w:line="360" w:before="0" w:after="160"/>
        <w:ind w:hanging="0" w:start="720"/>
        <w:jc w:val="both"/>
        <w:rPr>
          <w:rFonts w:ascii="Arial" w:hAnsi="Arial" w:eastAsia="Arial" w:cs="Arial"/>
          <w:sz w:val="24"/>
          <w:szCs w:val="24"/>
        </w:rPr>
      </w:pPr>
      <w:r>
        <w:rPr>
          <w:rFonts w:eastAsia="Arial" w:cs="Arial" w:ascii="Arial" w:hAnsi="Arial"/>
          <w:b/>
          <w:bCs/>
          <w:sz w:val="24"/>
          <w:szCs w:val="24"/>
        </w:rPr>
        <w:t>5.1.2</w:t>
      </w:r>
      <w:r>
        <w:rPr>
          <w:rFonts w:eastAsia="Arial" w:cs="Arial" w:ascii="Arial" w:hAnsi="Arial"/>
          <w:sz w:val="24"/>
          <w:szCs w:val="24"/>
        </w:rPr>
        <w:t xml:space="preserve"> Será admitida a subcontratação dos serviços e que não constituem o escopo principal do objeto, restrita, contudo, ao percentual máximo de 30% (trinta por cento) do orçamento, devendo a empresa indicada pela licitante contratada, antes do início da realização dos serviços, apresentar documentação que comprove sua habilitação jurídica, regularidade fiscal e a qualificação técnica necessária. </w:t>
      </w:r>
    </w:p>
    <w:p>
      <w:pPr>
        <w:pStyle w:val="normal1"/>
        <w:widowControl/>
        <w:numPr>
          <w:ilvl w:val="2"/>
          <w:numId w:val="10"/>
        </w:numPr>
        <w:tabs>
          <w:tab w:val="clear" w:pos="720"/>
          <w:tab w:val="left" w:pos="709" w:leader="none"/>
        </w:tabs>
        <w:spacing w:lineRule="auto" w:line="360" w:before="0" w:after="160"/>
        <w:ind w:hanging="720" w:start="1430"/>
        <w:jc w:val="both"/>
        <w:rPr>
          <w:rFonts w:ascii="Arial" w:hAnsi="Arial" w:eastAsia="Arial" w:cs="Arial"/>
          <w:b/>
          <w:bCs/>
          <w:sz w:val="24"/>
          <w:szCs w:val="24"/>
        </w:rPr>
      </w:pPr>
      <w:r>
        <w:rPr>
          <w:rFonts w:eastAsia="Arial" w:cs="Arial" w:ascii="Arial" w:hAnsi="Arial"/>
          <w:sz w:val="24"/>
          <w:szCs w:val="24"/>
        </w:rPr>
        <w:t>É vedada a subcontratação dos serviços considerados para efeito de atestação da capacidade técnico-operacional e técnico profissional.</w:t>
      </w:r>
    </w:p>
    <w:p>
      <w:pPr>
        <w:pStyle w:val="normal1"/>
        <w:widowControl/>
        <w:tabs>
          <w:tab w:val="clear" w:pos="720"/>
          <w:tab w:val="left" w:pos="709" w:leader="none"/>
        </w:tabs>
        <w:spacing w:lineRule="auto" w:line="240" w:before="0" w:after="160"/>
        <w:ind w:hanging="0" w:start="1701"/>
        <w:jc w:val="both"/>
        <w:rPr>
          <w:rFonts w:ascii="Arial" w:hAnsi="Arial" w:eastAsia="Arial" w:cs="Arial"/>
          <w:sz w:val="24"/>
          <w:szCs w:val="24"/>
        </w:rPr>
      </w:pPr>
      <w:r>
        <w:rPr>
          <w:rFonts w:eastAsia="Arial" w:cs="Arial" w:ascii="Arial" w:hAnsi="Arial"/>
          <w:sz w:val="24"/>
          <w:szCs w:val="24"/>
          <w:u w:val="single"/>
        </w:rPr>
        <w:t>Nota explicativa</w:t>
      </w:r>
      <w:r>
        <w:rPr>
          <w:rFonts w:eastAsia="Arial" w:cs="Arial" w:ascii="Arial" w:hAnsi="Arial"/>
          <w:sz w:val="24"/>
          <w:szCs w:val="24"/>
        </w:rPr>
        <w:t xml:space="preserve">: A subcontratação parcial NÃO é obrigatória e deverá ser analisada pelo Administrador em cada caso concreto. Também deve ser observado o alerta do TCU sobre subcontratação: “Quando a qualificação técnica da empresa for fator preponderante para sua contratação, e a subcontratação for admitida, é imprescindível que se exija o cumprimento dos mesmos requisitos por parte da subcontratada” (Acórdão n° 1.229/2008 – Plenário do TCU). </w:t>
      </w:r>
    </w:p>
    <w:p>
      <w:pPr>
        <w:pStyle w:val="normal1"/>
        <w:widowControl/>
        <w:numPr>
          <w:ilvl w:val="2"/>
          <w:numId w:val="10"/>
        </w:numPr>
        <w:tabs>
          <w:tab w:val="clear" w:pos="720"/>
          <w:tab w:val="left" w:pos="709" w:leader="none"/>
        </w:tabs>
        <w:spacing w:lineRule="auto" w:line="360" w:before="0" w:after="160"/>
        <w:ind w:hanging="720" w:start="1430"/>
        <w:jc w:val="both"/>
        <w:rPr>
          <w:rFonts w:ascii="Arial" w:hAnsi="Arial" w:eastAsia="Arial" w:cs="Arial"/>
          <w:b/>
          <w:bCs/>
          <w:sz w:val="24"/>
          <w:szCs w:val="24"/>
        </w:rPr>
      </w:pPr>
      <w:r>
        <w:rPr>
          <w:rFonts w:eastAsia="Arial" w:cs="Arial" w:ascii="Arial" w:hAnsi="Arial"/>
          <w:sz w:val="24"/>
          <w:szCs w:val="24"/>
        </w:rPr>
        <w:t>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pPr>
        <w:pStyle w:val="normal1"/>
        <w:widowControl/>
        <w:numPr>
          <w:ilvl w:val="1"/>
          <w:numId w:val="10"/>
        </w:numPr>
        <w:tabs>
          <w:tab w:val="clear" w:pos="720"/>
          <w:tab w:val="left" w:pos="709" w:leader="none"/>
        </w:tabs>
        <w:spacing w:lineRule="auto" w:line="360" w:before="0" w:after="160"/>
        <w:ind w:hanging="525" w:start="808"/>
        <w:jc w:val="both"/>
        <w:rPr>
          <w:rFonts w:ascii="Arial" w:hAnsi="Arial" w:eastAsia="Arial" w:cs="Arial"/>
          <w:b/>
          <w:bCs/>
          <w:sz w:val="24"/>
          <w:szCs w:val="24"/>
        </w:rPr>
      </w:pPr>
      <w:r>
        <w:rPr>
          <w:rFonts w:eastAsia="Arial" w:cs="Arial" w:ascii="Arial" w:hAnsi="Arial"/>
          <w:b/>
          <w:bCs/>
          <w:sz w:val="24"/>
          <w:szCs w:val="24"/>
        </w:rPr>
        <w:t xml:space="preserve"> </w:t>
      </w:r>
      <w:r>
        <w:rPr>
          <w:rFonts w:eastAsia="Arial" w:cs="Arial" w:ascii="Arial" w:hAnsi="Arial"/>
          <w:b/>
          <w:bCs/>
          <w:sz w:val="24"/>
          <w:szCs w:val="24"/>
        </w:rPr>
        <w:t>PLACA DE OBRA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A placa da Obra será executada com réguas de madeira e chapa de aço galvanizado, e pintada com tinta esmalte sintético, com dimensões aprovadas pela FISCALIZAÇÃO, conforme desenho apresentado pela CONTRATANTE, e deverá ser fixada nos locais onde houver intervenção, em local a ser determinada pela FISCALIZAÇÃO. </w:t>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709" w:leader="none"/>
        </w:tabs>
        <w:spacing w:lineRule="auto" w:line="360" w:before="0" w:after="160"/>
        <w:ind w:hanging="369" w:start="360"/>
        <w:jc w:val="both"/>
        <w:rPr>
          <w:rFonts w:ascii="Arial" w:hAnsi="Arial" w:eastAsia="Arial" w:cs="Arial"/>
          <w:b/>
          <w:bCs/>
          <w:sz w:val="24"/>
          <w:szCs w:val="24"/>
        </w:rPr>
      </w:pPr>
      <w:r>
        <w:rPr>
          <w:rFonts w:eastAsia="Arial" w:cs="Arial" w:ascii="Arial" w:hAnsi="Arial"/>
          <w:b/>
          <w:bCs/>
          <w:sz w:val="24"/>
          <w:szCs w:val="24"/>
        </w:rPr>
        <w:t>QUANTIDADES E SERVIÇOS A SEREM EXECUTADOS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Os serviços a serem executados são serviços de manutenção da pavimentação existente ou a implantação de novos trechos onde as ruas estão no seu leito natural. As utilizações de lajotas usadas servem para dar a manutenção de vias que estão com problemas no pavimento, onde as lajotas existentes apresentam desgastes e excessivos e até trincas, podendo nessas vias ser necessário a implantação ou correção do sistema de drenagem. Já as novas pavimentações obedecem às regras estabelecidas pelas normas de pavimentação e que já usadas pela PMF.</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Nas vias novas devemos considerar a regularização do subleito, camada de brita graduada (compactada), colchão de areia e lajota.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Seção tipo de pavimentação onde as larguras poderão sofrer alterações conforme as vias.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drawing>
          <wp:inline distT="0" distB="0" distL="0" distR="0">
            <wp:extent cx="5398135" cy="24130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9"/>
                    <a:stretch>
                      <a:fillRect/>
                    </a:stretch>
                  </pic:blipFill>
                  <pic:spPr bwMode="auto">
                    <a:xfrm>
                      <a:off x="0" y="0"/>
                      <a:ext cx="5398135" cy="2413000"/>
                    </a:xfrm>
                    <a:prstGeom prst="rect">
                      <a:avLst/>
                    </a:prstGeom>
                    <a:noFill/>
                  </pic:spPr>
                </pic:pic>
              </a:graphicData>
            </a:graphic>
          </wp:inline>
        </w:drawing>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drawing>
          <wp:inline distT="0" distB="0" distL="0" distR="0">
            <wp:extent cx="4840605" cy="3481705"/>
            <wp:effectExtent l="0" t="0" r="0" b="0"/>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a:picLocks noChangeAspect="1" noChangeArrowheads="1"/>
                    </pic:cNvPicPr>
                  </pic:nvPicPr>
                  <pic:blipFill>
                    <a:blip r:embed="rId20"/>
                    <a:stretch>
                      <a:fillRect/>
                    </a:stretch>
                  </pic:blipFill>
                  <pic:spPr bwMode="auto">
                    <a:xfrm>
                      <a:off x="0" y="0"/>
                      <a:ext cx="4840605" cy="3481705"/>
                    </a:xfrm>
                    <a:prstGeom prst="rect">
                      <a:avLst/>
                    </a:prstGeom>
                    <a:noFill/>
                  </pic:spPr>
                </pic:pic>
              </a:graphicData>
            </a:graphic>
          </wp:inline>
        </w:drawing>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Principais sem serviços a serem executados, sem considerar o transporte dos materiais.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tbl>
      <w:tblPr>
        <w:tblStyle w:val="Table4"/>
        <w:tblpPr w:vertAnchor="text" w:horzAnchor="text" w:bottomFromText="180" w:leftFromText="180" w:rightFromText="180" w:topFromText="180" w:tblpX="140" w:tblpY="0"/>
        <w:tblW w:w="10349" w:type="dxa"/>
        <w:jc w:val="start"/>
        <w:tblInd w:w="0" w:type="dxa"/>
        <w:tblLayout w:type="fixed"/>
        <w:tblCellMar>
          <w:top w:w="0" w:type="dxa"/>
          <w:start w:w="108" w:type="dxa"/>
          <w:bottom w:w="0" w:type="dxa"/>
          <w:end w:w="108" w:type="dxa"/>
        </w:tblCellMar>
        <w:tblLook w:val="0000"/>
      </w:tblPr>
      <w:tblGrid>
        <w:gridCol w:w="452"/>
        <w:gridCol w:w="683"/>
        <w:gridCol w:w="933"/>
        <w:gridCol w:w="1901"/>
        <w:gridCol w:w="620"/>
        <w:gridCol w:w="1019"/>
        <w:gridCol w:w="916"/>
        <w:gridCol w:w="913"/>
        <w:gridCol w:w="852"/>
        <w:gridCol w:w="2060"/>
      </w:tblGrid>
      <w:tr>
        <w:trPr>
          <w:trHeight w:val="255" w:hRule="atLeast"/>
        </w:trPr>
        <w:tc>
          <w:tcPr>
            <w:tcW w:w="452" w:type="dxa"/>
            <w:tcBorders>
              <w:top w:val="single" w:sz="4" w:space="0" w:color="000000"/>
              <w:bottom w:val="single" w:sz="4" w:space="0" w:color="000000"/>
            </w:tcBorders>
            <w:shd w:fill="B2B2B2" w:val="clear"/>
            <w:vAlign w:val="center"/>
          </w:tcPr>
          <w:p>
            <w:pPr>
              <w:pStyle w:val="normal1"/>
              <w:widowControl/>
              <w:rPr>
                <w:rFonts w:ascii="Arial" w:hAnsi="Arial" w:eastAsia="Arial" w:cs="Arial"/>
                <w:sz w:val="10"/>
                <w:szCs w:val="10"/>
              </w:rPr>
            </w:pPr>
            <w:sdt>
              <w:sdtPr>
                <w:tag w:val="goog_rdk_1"/>
                <w:id w:val="-1155517493"/>
                <w:lock w:val="contentLocked"/>
                <w:text/>
              </w:sdtPr>
              <w:sdtContent>
                <w:r>
                  <w:rPr>
                    <w:rFonts w:eastAsia="Arial" w:cs="Arial" w:ascii="Arial" w:hAnsi="Arial"/>
                    <w:b/>
                    <w:bCs/>
                    <w:sz w:val="10"/>
                    <w:szCs w:val="10"/>
                  </w:rPr>
                </w:r>
                <w:r>
                  <w:rPr>
                    <w:rFonts w:eastAsia="Arial" w:cs="Arial" w:ascii="Arial" w:hAnsi="Arial"/>
                    <w:b/>
                    <w:bCs/>
                    <w:sz w:val="10"/>
                    <w:szCs w:val="10"/>
                  </w:rPr>
                  <w:t>ITEM</w:t>
                </w:r>
              </w:sdtContent>
            </w:sdt>
          </w:p>
        </w:tc>
        <w:tc>
          <w:tcPr>
            <w:tcW w:w="683"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REFERÊNCIA</w:t>
            </w:r>
          </w:p>
        </w:tc>
        <w:tc>
          <w:tcPr>
            <w:tcW w:w="933"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CÓDIGO</w:t>
            </w:r>
          </w:p>
        </w:tc>
        <w:tc>
          <w:tcPr>
            <w:tcW w:w="1901"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DESCRIÇÃO</w:t>
            </w:r>
          </w:p>
        </w:tc>
        <w:tc>
          <w:tcPr>
            <w:tcW w:w="620"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UN.</w:t>
            </w:r>
          </w:p>
        </w:tc>
        <w:tc>
          <w:tcPr>
            <w:tcW w:w="1019"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QUANTIDADE</w:t>
            </w:r>
          </w:p>
        </w:tc>
        <w:tc>
          <w:tcPr>
            <w:tcW w:w="916"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CUSTO S/BDI</w:t>
            </w:r>
          </w:p>
        </w:tc>
        <w:tc>
          <w:tcPr>
            <w:tcW w:w="913"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BDI</w:t>
            </w:r>
          </w:p>
        </w:tc>
        <w:tc>
          <w:tcPr>
            <w:tcW w:w="852"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PREÇO UN.</w:t>
            </w:r>
          </w:p>
        </w:tc>
        <w:tc>
          <w:tcPr>
            <w:tcW w:w="2060" w:type="dxa"/>
            <w:tcBorders>
              <w:top w:val="single" w:sz="4" w:space="0" w:color="000000"/>
              <w:bottom w:val="single" w:sz="4" w:space="0" w:color="000000"/>
            </w:tcBorders>
            <w:shd w:fill="B2B2B2" w:val="clear"/>
            <w:vAlign w:val="center"/>
          </w:tcPr>
          <w:p>
            <w:pPr>
              <w:pStyle w:val="normal1"/>
              <w:widowControl/>
              <w:jc w:val="center"/>
              <w:rPr>
                <w:rFonts w:ascii="Arial" w:hAnsi="Arial" w:eastAsia="Arial" w:cs="Arial"/>
                <w:sz w:val="10"/>
                <w:szCs w:val="10"/>
              </w:rPr>
            </w:pPr>
            <w:r>
              <w:rPr>
                <w:rFonts w:eastAsia="Arial" w:cs="Arial" w:ascii="Arial" w:hAnsi="Arial"/>
                <w:b/>
                <w:bCs/>
                <w:sz w:val="10"/>
                <w:szCs w:val="10"/>
              </w:rPr>
              <w:t>PREÇO TOTAL</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01</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2834" w:type="dxa"/>
            <w:gridSpan w:val="2"/>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SERVIÇOS INICIAIS</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45.132,85 </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1.1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103689</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Placa da Obra conforme modelo específico da PMF e do órgão financiador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470,71</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574,26</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17.227,80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1.2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CAT011-001</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Canteiro de Serviço  incluindo WC</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un</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12.000,00</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14.640,00</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14.640,00</w:t>
            </w:r>
          </w:p>
        </w:tc>
      </w:tr>
      <w:tr>
        <w:trPr>
          <w:trHeight w:val="112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1.3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STP012-010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Sinalização na obra com tela plástica cor laranja malha retangular h=1,20 incluindo estrutura em barrras de Aço CA-50 10mm (ht=1,20m + 0,30m) a cada 2,00m (Reaproveitamento 10x)</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2,47</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3,01</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3.010,00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1.4</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MOB010-001</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Mobilização e Desmobilização, incluindo deslocamento de todos os equipamentos e acessórios necessários a completa execução da obra</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un</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8.405,78</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10.255,05</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10.255,05</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shd w:fill="FFFFFF" w:val="clear"/>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02</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2834" w:type="dxa"/>
            <w:gridSpan w:val="2"/>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REMOÇÃO E DEMOLIÇÃO</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5.857,92 </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2.1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104790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DEMOLIÇÃO DE CONCRETO SIMPLES, DE FORMA MECANIZADA COM MARTELETE, SEM REAPROVEITAMENTO. AF_09/2023</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M3</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124,02</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151,30</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3.026,00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2.2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100974</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Carga, manobra e descarga de entulhos em caminhão basculante 10m³ – carga com pá carregadeira (caçamba de 1,7 a 2,8 m³ / 128 HP) e descarga livre (unidade: m³).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26,00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8,63</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10,52</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273,52</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2.3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95875</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Transporte de entulhos com caminhão basculante 10m³, em via urbana pavimentada DMT até 30km  (unidade m³*km)</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m³xkm</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780,00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2,69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3,28</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2.558,40</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shd w:fill="FFFFFF" w:val="clear"/>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color w:val="FF0000"/>
                <w:sz w:val="16"/>
                <w:szCs w:val="16"/>
              </w:rPr>
            </w:pPr>
            <w:r>
              <w:rPr>
                <w:rFonts w:eastAsia="Arial" w:cs="Arial" w:ascii="Arial" w:hAnsi="Arial"/>
                <w:color w:val="FF0000"/>
                <w:sz w:val="16"/>
                <w:szCs w:val="16"/>
              </w:rPr>
              <w:t> </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03</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2834" w:type="dxa"/>
            <w:gridSpan w:val="2"/>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DRENAGEM</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1.033.689,80 </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90108</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Escavação mecanizada de vala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5.000,00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8,38</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10,22</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51.100,00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101616</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Preparo de fundo de vala com largura menor que 1,5 m (acerto do solo natural) AF_08/2020</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2.500,00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9,46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11,54</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28.850,00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GPC022-030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Galeria pluvial com tubo concreto simples Ø 300mm, junta seca, incluindo manta de geotextil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400,00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68,93</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84,09</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33.636,00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3.4</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GPC031-040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Galeria pluvial com tubo em concreto simples Ø 400mm, junta seca, incluindo manta de geotextil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3.000,00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93,01</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113,47</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340.410,00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3.5</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95568</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Tubo de concreto (simples) para redes coletoras de águas pluviais, diâmetro de 400 mm, </w:t>
            </w:r>
            <w:r>
              <w:rPr>
                <w:rFonts w:eastAsia="Arial" w:cs="Arial" w:ascii="Arial" w:hAnsi="Arial"/>
                <w:b/>
                <w:bCs/>
                <w:sz w:val="16"/>
                <w:szCs w:val="16"/>
              </w:rPr>
              <w:t>ponta e bolsa</w:t>
            </w:r>
            <w:r>
              <w:rPr>
                <w:rFonts w:eastAsia="Arial" w:cs="Arial" w:ascii="Arial" w:hAnsi="Arial"/>
                <w:sz w:val="16"/>
                <w:szCs w:val="16"/>
              </w:rPr>
              <w:t>, junta rígida, fornecimento e assentamento.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300,00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95,77</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116,83</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35.049,00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3.6</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GPC051-060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Galeria pluvial com tubo em concreto simples Ø 600mm, junta seca, incluindo manta de geotextil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300,00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146,94</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179,26</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53.778,00</w:t>
            </w:r>
          </w:p>
        </w:tc>
      </w:tr>
      <w:tr>
        <w:trPr>
          <w:trHeight w:val="112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3.7</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CCP011-120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Caixa Captação Pluvial  134x94  Hi=80cm, parede bloco 14 enchimento em concreto e Chaminé 88x63 Hi=40cm em concreto, grade FºFº 70x40, para tubo Ø 40/50cm, modelo CCP011-120 PMF/SMO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un</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100,00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1.718,37</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2.096,41</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209.641,00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3.8</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CJC021-100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Caixa de Junção  108x108  Hi=100cm, parede bloco 14, enchimento em concreto, para tubo de Ø 60cm, modelo CJC021-100 PMF/SMO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un</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30,00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1.080,09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1.317,70</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39.531,00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3.9</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RCX011-500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Readequação 50% de caixa de captação  Modelo médio Geral - Sem Aproveit. da Grade  FºFº (Grade nova)</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un</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30,00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1.029,81</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1.256,36</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37.690,80</w:t>
            </w:r>
          </w:p>
        </w:tc>
      </w:tr>
      <w:tr>
        <w:trPr>
          <w:trHeight w:val="112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3.10</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101573</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ESCORAMENTO DE VALA, TIPO PONTALETEAMENTO, COM PROFUNDIDADE DE 1,5 A 3,0 M, LARGURA MAIOR OU IGUAL A 1,5 M E MENOR QUE 2,5 M. AF_01/2026</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M2</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50,00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39,74</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48,48</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2.424,00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3.11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93381</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Reaterro mecanizado de vala com reaproveitamento do material escavado com compactador de solos a percussão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14,92</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18,20</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54.600,00</w:t>
            </w:r>
          </w:p>
        </w:tc>
      </w:tr>
      <w:tr>
        <w:trPr>
          <w:trHeight w:val="112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3.12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100974</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Carga, manobra e descarga de solos e materiais granulares em caminhão basculante 10m³ – carga com pá carregadeira (caçamba de 1,7 a 2,8 m³ / 128 HP) e descarga livre (unidade: m³).</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8,63</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10,52</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15.780,00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3.13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95875</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Transporte com caminhão basculante 10 m³, em via urbana pavimentada DMT até 30km  (unidade m³*km)</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m³xkm</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40.000,00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2,69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3,28</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131.200,00</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shd w:fill="FFFFFF" w:val="clear"/>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04</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2834" w:type="dxa"/>
            <w:gridSpan w:val="2"/>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 xml:space="preserve">PAVIMENTAÇÃO </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4.307.779,42 </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100577</w:t>
            </w:r>
          </w:p>
        </w:tc>
        <w:tc>
          <w:tcPr>
            <w:tcW w:w="1901" w:type="dxa"/>
            <w:tcBorders>
              <w:top w:val="single" w:sz="4" w:space="0" w:color="000000"/>
              <w:bottom w:val="single" w:sz="4" w:space="0" w:color="000000"/>
            </w:tcBorders>
          </w:tcPr>
          <w:p>
            <w:pPr>
              <w:pStyle w:val="normal1"/>
              <w:widowControl/>
              <w:rPr>
                <w:rFonts w:ascii="Arial" w:hAnsi="Arial" w:eastAsia="Arial" w:cs="Arial"/>
                <w:sz w:val="16"/>
                <w:szCs w:val="16"/>
              </w:rPr>
            </w:pPr>
            <w:r>
              <w:rPr>
                <w:rFonts w:eastAsia="Arial" w:cs="Arial" w:ascii="Arial" w:hAnsi="Arial"/>
                <w:sz w:val="16"/>
                <w:szCs w:val="16"/>
              </w:rPr>
              <w:t>Regularização e compactação de subleito de solo predominantemente arenoso, para obras de construção de pavimentos. Af_09/2024</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M2</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28.000,00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1,93</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54.040,00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96396A</w:t>
            </w:r>
          </w:p>
        </w:tc>
        <w:tc>
          <w:tcPr>
            <w:tcW w:w="1901" w:type="dxa"/>
            <w:tcBorders>
              <w:top w:val="single" w:sz="4" w:space="0" w:color="000000"/>
              <w:bottom w:val="single" w:sz="4" w:space="0" w:color="000000"/>
            </w:tcBorders>
          </w:tcPr>
          <w:p>
            <w:pPr>
              <w:pStyle w:val="normal1"/>
              <w:widowControl/>
              <w:rPr>
                <w:rFonts w:ascii="Arial" w:hAnsi="Arial" w:eastAsia="Arial" w:cs="Arial"/>
                <w:sz w:val="16"/>
                <w:szCs w:val="16"/>
              </w:rPr>
            </w:pPr>
            <w:r>
              <w:rPr>
                <w:rFonts w:eastAsia="Arial" w:cs="Arial" w:ascii="Arial" w:hAnsi="Arial"/>
                <w:sz w:val="16"/>
                <w:szCs w:val="16"/>
              </w:rPr>
              <w:t>Execução e compactação de base com Brita Graduada inclusive trasnporte</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3.360,00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176,18</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214,93</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722.164,80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COMP001</w:t>
            </w:r>
          </w:p>
        </w:tc>
        <w:tc>
          <w:tcPr>
            <w:tcW w:w="1901" w:type="dxa"/>
            <w:tcBorders>
              <w:top w:val="single" w:sz="4" w:space="0" w:color="000000"/>
              <w:bottom w:val="single" w:sz="4" w:space="0" w:color="000000"/>
            </w:tcBorders>
            <w:shd w:fill="F2F2F2" w:val="clear"/>
          </w:tcPr>
          <w:p>
            <w:pPr>
              <w:pStyle w:val="normal1"/>
              <w:widowControl/>
              <w:rPr>
                <w:rFonts w:ascii="Arial" w:hAnsi="Arial" w:eastAsia="Arial" w:cs="Arial"/>
                <w:sz w:val="16"/>
                <w:szCs w:val="16"/>
              </w:rPr>
            </w:pPr>
            <w:r>
              <w:rPr>
                <w:rFonts w:eastAsia="Arial" w:cs="Arial" w:ascii="Arial" w:hAnsi="Arial"/>
                <w:sz w:val="16"/>
                <w:szCs w:val="16"/>
              </w:rPr>
              <w:t>Seleção e limpeza de blocos intertravados a ser feita nas dependências da SMTI</w:t>
            </w:r>
          </w:p>
        </w:tc>
        <w:tc>
          <w:tcPr>
            <w:tcW w:w="620" w:type="dxa"/>
            <w:tcBorders>
              <w:top w:val="single" w:sz="4" w:space="0" w:color="000000"/>
              <w:bottom w:val="single" w:sz="4" w:space="0" w:color="000000"/>
            </w:tcBorders>
            <w:shd w:fill="F2F2F2"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2F2F2"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5.600,00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6,68</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8,14</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45.584,00</w:t>
            </w:r>
          </w:p>
        </w:tc>
      </w:tr>
      <w:tr>
        <w:trPr>
          <w:trHeight w:val="112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4.4</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100974</w:t>
            </w:r>
          </w:p>
        </w:tc>
        <w:tc>
          <w:tcPr>
            <w:tcW w:w="1901" w:type="dxa"/>
            <w:tcBorders>
              <w:top w:val="single" w:sz="4" w:space="0" w:color="000000"/>
              <w:bottom w:val="single" w:sz="4" w:space="0" w:color="000000"/>
            </w:tcBorders>
            <w:shd w:fill="F2F2F2" w:val="clear"/>
          </w:tcPr>
          <w:p>
            <w:pPr>
              <w:pStyle w:val="normal1"/>
              <w:widowControl/>
              <w:rPr>
                <w:rFonts w:ascii="Arial" w:hAnsi="Arial" w:eastAsia="Arial" w:cs="Arial"/>
                <w:sz w:val="16"/>
                <w:szCs w:val="16"/>
              </w:rPr>
            </w:pPr>
            <w:r>
              <w:rPr>
                <w:rFonts w:eastAsia="Arial" w:cs="Arial" w:ascii="Arial" w:hAnsi="Arial"/>
                <w:sz w:val="16"/>
                <w:szCs w:val="16"/>
              </w:rPr>
              <w:t>Carga, manobra e descarga de solos e materiais granulares em caminhão basculante 10m³ – carga com pá carregadeira (caçamba de 1,7 a 2,8 m³ / 128 HP) e descarga livre (unidade: m³).</w:t>
            </w:r>
          </w:p>
        </w:tc>
        <w:tc>
          <w:tcPr>
            <w:tcW w:w="620" w:type="dxa"/>
            <w:tcBorders>
              <w:top w:val="single" w:sz="4" w:space="0" w:color="000000"/>
              <w:bottom w:val="single" w:sz="4" w:space="0" w:color="000000"/>
            </w:tcBorders>
            <w:shd w:fill="F2F2F2"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2F2F2"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627,20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8,63</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10,52</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6.598,14</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4.5</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95875</w:t>
            </w:r>
          </w:p>
        </w:tc>
        <w:tc>
          <w:tcPr>
            <w:tcW w:w="1901" w:type="dxa"/>
            <w:tcBorders>
              <w:top w:val="single" w:sz="4" w:space="0" w:color="000000"/>
              <w:bottom w:val="single" w:sz="4" w:space="0" w:color="000000"/>
            </w:tcBorders>
            <w:shd w:fill="F2F2F2" w:val="clear"/>
          </w:tcPr>
          <w:p>
            <w:pPr>
              <w:pStyle w:val="normal1"/>
              <w:widowControl/>
              <w:rPr>
                <w:rFonts w:ascii="Arial" w:hAnsi="Arial" w:eastAsia="Arial" w:cs="Arial"/>
                <w:sz w:val="16"/>
                <w:szCs w:val="16"/>
              </w:rPr>
            </w:pPr>
            <w:r>
              <w:rPr>
                <w:rFonts w:eastAsia="Arial" w:cs="Arial" w:ascii="Arial" w:hAnsi="Arial"/>
                <w:sz w:val="16"/>
                <w:szCs w:val="16"/>
              </w:rPr>
              <w:t>Transporte com caminhão basculante 10 m³, em via urbana pavimentada DMT até 30km  (unidade m³*km)</w:t>
            </w:r>
          </w:p>
        </w:tc>
        <w:tc>
          <w:tcPr>
            <w:tcW w:w="620" w:type="dxa"/>
            <w:tcBorders>
              <w:top w:val="single" w:sz="4" w:space="0" w:color="000000"/>
              <w:bottom w:val="single" w:sz="4" w:space="0" w:color="000000"/>
            </w:tcBorders>
            <w:shd w:fill="F2F2F2"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m³xkm</w:t>
            </w:r>
          </w:p>
        </w:tc>
        <w:tc>
          <w:tcPr>
            <w:tcW w:w="1019" w:type="dxa"/>
            <w:tcBorders>
              <w:top w:val="single" w:sz="4" w:space="0" w:color="000000"/>
              <w:bottom w:val="single" w:sz="4" w:space="0" w:color="000000"/>
            </w:tcBorders>
            <w:shd w:fill="F2F2F2"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18.816,00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2,69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3,28</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61.716,48</w:t>
            </w:r>
          </w:p>
        </w:tc>
      </w:tr>
      <w:tr>
        <w:trPr>
          <w:trHeight w:val="13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4.6</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92394A</w:t>
            </w:r>
          </w:p>
        </w:tc>
        <w:tc>
          <w:tcPr>
            <w:tcW w:w="1901" w:type="dxa"/>
            <w:tcBorders>
              <w:top w:val="single" w:sz="4" w:space="0" w:color="000000"/>
              <w:bottom w:val="single" w:sz="4" w:space="0" w:color="000000"/>
            </w:tcBorders>
            <w:shd w:fill="F2F2F2" w:val="clear"/>
          </w:tcPr>
          <w:p>
            <w:pPr>
              <w:pStyle w:val="normal1"/>
              <w:widowControl/>
              <w:rPr>
                <w:rFonts w:ascii="Arial" w:hAnsi="Arial" w:eastAsia="Arial" w:cs="Arial"/>
                <w:sz w:val="16"/>
                <w:szCs w:val="16"/>
              </w:rPr>
            </w:pPr>
            <w:r>
              <w:rPr>
                <w:rFonts w:eastAsia="Arial" w:cs="Arial" w:ascii="Arial" w:hAnsi="Arial"/>
                <w:sz w:val="16"/>
                <w:szCs w:val="16"/>
              </w:rPr>
              <w:t>Execução de Pavimento em Piso Intertravado, utilizando bloco sextavado usados, de 25x25cm, 35MPa, fornecidos pela SMI, a serem reassentados, limpos, incluindo colchão de areia novo e compactação</w:t>
            </w:r>
          </w:p>
        </w:tc>
        <w:tc>
          <w:tcPr>
            <w:tcW w:w="620" w:type="dxa"/>
            <w:tcBorders>
              <w:top w:val="single" w:sz="4" w:space="0" w:color="000000"/>
              <w:bottom w:val="single" w:sz="4" w:space="0" w:color="000000"/>
            </w:tcBorders>
            <w:shd w:fill="F2F2F2"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2F2F2"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5.600,00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20,46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24,96</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139.776,00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4.7</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92394</w:t>
            </w:r>
          </w:p>
        </w:tc>
        <w:tc>
          <w:tcPr>
            <w:tcW w:w="1901" w:type="dxa"/>
            <w:tcBorders>
              <w:top w:val="single" w:sz="4" w:space="0" w:color="000000"/>
              <w:bottom w:val="single" w:sz="4" w:space="0" w:color="000000"/>
            </w:tcBorders>
          </w:tcPr>
          <w:p>
            <w:pPr>
              <w:pStyle w:val="normal1"/>
              <w:widowControl/>
              <w:rPr>
                <w:rFonts w:ascii="Arial" w:hAnsi="Arial" w:eastAsia="Arial" w:cs="Arial"/>
                <w:sz w:val="16"/>
                <w:szCs w:val="16"/>
              </w:rPr>
            </w:pPr>
            <w:r>
              <w:rPr>
                <w:rFonts w:eastAsia="Arial" w:cs="Arial" w:ascii="Arial" w:hAnsi="Arial"/>
                <w:sz w:val="16"/>
                <w:szCs w:val="16"/>
              </w:rPr>
              <w:t>EXECUÇÃO DE PAVIMENTO EM PISO INTERTRAVADO, COM BLOCO SEXTAVADO DE 25 X 25 CM, ESPESSURA 8 CM. AF_10/2022</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22.400,00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90,62</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110,55</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2.476.320,00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4.8</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94273</w:t>
            </w:r>
          </w:p>
        </w:tc>
        <w:tc>
          <w:tcPr>
            <w:tcW w:w="1901" w:type="dxa"/>
            <w:tcBorders>
              <w:top w:val="single" w:sz="4" w:space="0" w:color="000000"/>
              <w:bottom w:val="single" w:sz="4" w:space="0" w:color="000000"/>
            </w:tcBorders>
          </w:tcPr>
          <w:p>
            <w:pPr>
              <w:pStyle w:val="normal1"/>
              <w:widowControl/>
              <w:rPr>
                <w:rFonts w:ascii="Arial" w:hAnsi="Arial" w:eastAsia="Arial" w:cs="Arial"/>
                <w:sz w:val="16"/>
                <w:szCs w:val="16"/>
              </w:rPr>
            </w:pPr>
            <w:r>
              <w:rPr>
                <w:rFonts w:eastAsia="Arial" w:cs="Arial" w:ascii="Arial" w:hAnsi="Arial"/>
                <w:sz w:val="16"/>
                <w:szCs w:val="16"/>
              </w:rPr>
              <w:t>Meiofio confeccionado em concreto pré-fabricado, dimensões (100x30x15/12)cm</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48,59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59,27</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770.510,00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4.9</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102498</w:t>
            </w:r>
          </w:p>
        </w:tc>
        <w:tc>
          <w:tcPr>
            <w:tcW w:w="1901" w:type="dxa"/>
            <w:tcBorders>
              <w:top w:val="single" w:sz="4" w:space="0" w:color="000000"/>
              <w:bottom w:val="single" w:sz="4" w:space="0" w:color="000000"/>
            </w:tcBorders>
          </w:tcPr>
          <w:p>
            <w:pPr>
              <w:pStyle w:val="normal1"/>
              <w:widowControl/>
              <w:rPr>
                <w:rFonts w:ascii="Arial" w:hAnsi="Arial" w:eastAsia="Arial" w:cs="Arial"/>
                <w:sz w:val="16"/>
                <w:szCs w:val="16"/>
              </w:rPr>
            </w:pPr>
            <w:r>
              <w:rPr>
                <w:rFonts w:eastAsia="Arial" w:cs="Arial" w:ascii="Arial" w:hAnsi="Arial"/>
                <w:sz w:val="16"/>
                <w:szCs w:val="16"/>
              </w:rPr>
              <w:t>Pintura de meio-fio com tinta branca a base de cal (caiação).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1,96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2,39</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31.070,00</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05</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933"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CALÇADA</w:t>
            </w:r>
          </w:p>
        </w:tc>
        <w:tc>
          <w:tcPr>
            <w:tcW w:w="1901"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 </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233.991,50 </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5.1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101617</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Regularização manual de solo, acerto natural e compactação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4,30</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5,24</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10.480,00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5.2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100324</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Lastro com material granular (brita)  espalhado e compactado</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208,00</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253,76</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25.376,00</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5.3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104626</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xml:space="preserve">Execução de passeio e=6cm (calçada) ou e=8cm (entrada veículo) concreto usinado, acabamento convencional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125,00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858,97</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1.047,94</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130.992,50</w:t>
            </w:r>
          </w:p>
        </w:tc>
      </w:tr>
      <w:tr>
        <w:trPr>
          <w:trHeight w:val="112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5.4</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94995</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Execução de passeio (calçada) ou piso de concreto com concreto moldado in loco, usinado, acabamento convencional, espessura 10 cm, armado com tela malha 15x15cm.</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99,56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121,46</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48.584,00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5.5</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RVP032-001</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Revestimento de passeio com Piso podotatil, direcional e alerta, placa de cimento colorido 45x45x2,5cm, assentado sobre argamassa 1:3</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152,13</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185,59</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18.559,00</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06</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2834" w:type="dxa"/>
            <w:gridSpan w:val="2"/>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 xml:space="preserve">CONTENÇÃO </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138.384,04 </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104917</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ARMAÇÃO DE SAPATA ISOLADA, VIGA BALDRAME E SAPATA CORRIDA UTILIZANDO AÇO CA-50 DE 6,3 MM - MONTAGEM. AF_01/2024</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kg</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16,49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20,11</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20.110,00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6.2</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104918</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ARMAÇÃO DE SAPATA ISOLADA, VIGA BALDRAME E SAPATA CORRIDA UTILIZANDO AÇO CA-50 DE 8 MM - MONTAGEM. AF_01/2024</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kg</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14,86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18,12</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5.436,00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6.3</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104919</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ARMAÇÃO DE SAPATA ISOLADA, VIGA BALDRAME E SAPATA CORRIDA UTILIZANDO AÇO CA-50 DE 10 MM - MONTAGEM. AF_01/2024</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kg</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13,06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15,93</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4.779,00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6.4</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104924</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CONCRETAGEM DE SAPATA CORRIDA, FCK 30 MPA, COM USO DE BOMBA - LANÇAMENTO, ADENSAMENTO E ACABAMENTO. AF_01/2024</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24,00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858,37</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1.047,21</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25.133,04</w:t>
            </w:r>
          </w:p>
        </w:tc>
      </w:tr>
      <w:tr>
        <w:trPr>
          <w:trHeight w:val="67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6.5</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89996</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ARMAÇÃO VERTICAL DE ALVENARIA ESTRUTURAL; DIÂMETRO DE 10,0 MM. AF_09/2021</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kg</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600,00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10,78</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13,15</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7.890,00</w:t>
            </w:r>
          </w:p>
        </w:tc>
      </w:tr>
      <w:tr>
        <w:trPr>
          <w:trHeight w:val="45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6.6</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89993</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GRAUTEAMENTO VERTICAL EM ALVENARIA ESTRUTURAL. AF_09/2021</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m³</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30,00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1.261,81</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1.539,40</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46.182,00</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6.7</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SINAPI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89470</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ALVENARIA DE BLOCOS DE CONCRETO ESTRUTURAL 14X19X39 CM (ESPESSURA 14 CM), FBK = 4,5 MPA, UTILIZANDO COLHER DE PEDREIRO. AF_10/2022</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m²</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118,26</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144,27</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28.854,00</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07</w:t>
            </w:r>
          </w:p>
        </w:tc>
        <w:tc>
          <w:tcPr>
            <w:tcW w:w="683"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2834" w:type="dxa"/>
            <w:gridSpan w:val="2"/>
            <w:tcBorders>
              <w:top w:val="single" w:sz="4" w:space="0" w:color="000000"/>
              <w:bottom w:val="single" w:sz="4" w:space="0" w:color="000000"/>
            </w:tcBorders>
            <w:shd w:fill="DDDDDD" w:val="clear"/>
            <w:vAlign w:val="center"/>
          </w:tcPr>
          <w:p>
            <w:pPr>
              <w:pStyle w:val="normal1"/>
              <w:widowControl/>
              <w:rPr>
                <w:rFonts w:ascii="Arial" w:hAnsi="Arial" w:eastAsia="Arial" w:cs="Arial"/>
                <w:sz w:val="16"/>
                <w:szCs w:val="16"/>
              </w:rPr>
            </w:pPr>
            <w:r>
              <w:rPr>
                <w:rFonts w:eastAsia="Arial" w:cs="Arial" w:ascii="Arial" w:hAnsi="Arial"/>
                <w:b/>
                <w:bCs/>
                <w:sz w:val="16"/>
                <w:szCs w:val="16"/>
              </w:rPr>
              <w:t>ADMINISTRAÇÃO LOCAL</w:t>
            </w:r>
          </w:p>
        </w:tc>
        <w:tc>
          <w:tcPr>
            <w:tcW w:w="620" w:type="dxa"/>
            <w:tcBorders>
              <w:top w:val="single" w:sz="4" w:space="0" w:color="000000"/>
              <w:bottom w:val="single" w:sz="4" w:space="0" w:color="000000"/>
            </w:tcBorders>
            <w:shd w:fill="DDDDDD"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DDDDDD"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235.104,00 </w:t>
            </w:r>
          </w:p>
        </w:tc>
      </w:tr>
      <w:tr>
        <w:trPr>
          <w:trHeight w:val="900"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7.1</w:t>
            </w:r>
          </w:p>
        </w:tc>
        <w:tc>
          <w:tcPr>
            <w:tcW w:w="68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PMF/SMTI</w:t>
            </w:r>
          </w:p>
        </w:tc>
        <w:tc>
          <w:tcPr>
            <w:tcW w:w="933"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ADL011-002</w:t>
            </w:r>
          </w:p>
        </w:tc>
        <w:tc>
          <w:tcPr>
            <w:tcW w:w="1901" w:type="dxa"/>
            <w:tcBorders>
              <w:top w:val="single" w:sz="4" w:space="0" w:color="000000"/>
              <w:bottom w:val="single" w:sz="4" w:space="0" w:color="000000"/>
            </w:tcBorders>
            <w:shd w:fill="FFFFFF" w:val="clear"/>
          </w:tcPr>
          <w:p>
            <w:pPr>
              <w:pStyle w:val="normal1"/>
              <w:widowControl/>
              <w:rPr>
                <w:rFonts w:ascii="Arial" w:hAnsi="Arial" w:eastAsia="Arial" w:cs="Arial"/>
                <w:sz w:val="16"/>
                <w:szCs w:val="16"/>
              </w:rPr>
            </w:pPr>
            <w:r>
              <w:rPr>
                <w:rFonts w:eastAsia="Arial" w:cs="Arial" w:ascii="Arial" w:hAnsi="Arial"/>
                <w:sz w:val="16"/>
                <w:szCs w:val="16"/>
              </w:rPr>
              <w:t>Administração local, inclusive responsáveis técnicos e suas equipes, ensaios e demais atividades relacionadas à completa administração da obra</w:t>
            </w:r>
          </w:p>
        </w:tc>
        <w:tc>
          <w:tcPr>
            <w:tcW w:w="620" w:type="dxa"/>
            <w:tcBorders>
              <w:top w:val="single" w:sz="4" w:space="0" w:color="000000"/>
              <w:bottom w:val="single" w:sz="4" w:space="0" w:color="000000"/>
            </w:tcBorders>
            <w:shd w:fill="FFFFFF"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un</w:t>
            </w:r>
          </w:p>
        </w:tc>
        <w:tc>
          <w:tcPr>
            <w:tcW w:w="1019"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100,00</w:t>
            </w:r>
          </w:p>
        </w:tc>
        <w:tc>
          <w:tcPr>
            <w:tcW w:w="916" w:type="dxa"/>
            <w:tcBorders>
              <w:top w:val="single" w:sz="4" w:space="0" w:color="000000"/>
              <w:bottom w:val="single" w:sz="4" w:space="0" w:color="000000"/>
            </w:tcBorders>
            <w:shd w:fill="FFFFFF"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1.927,09</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22,00%</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2.351,04</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235.104,00</w:t>
            </w:r>
          </w:p>
        </w:tc>
      </w:tr>
      <w:tr>
        <w:trPr>
          <w:trHeight w:val="255" w:hRule="atLeast"/>
        </w:trPr>
        <w:tc>
          <w:tcPr>
            <w:tcW w:w="452" w:type="dxa"/>
            <w:tcBorders>
              <w:top w:val="single" w:sz="4" w:space="0" w:color="000000"/>
              <w:bottom w:val="single" w:sz="4" w:space="0" w:color="000000"/>
            </w:tcBorders>
            <w:vAlign w:val="center"/>
          </w:tcPr>
          <w:p>
            <w:pPr>
              <w:pStyle w:val="normal1"/>
              <w:widowControl/>
              <w:rPr>
                <w:rFonts w:ascii="Arial" w:hAnsi="Arial" w:eastAsia="Arial" w:cs="Arial"/>
                <w:sz w:val="16"/>
                <w:szCs w:val="16"/>
              </w:rPr>
            </w:pPr>
            <w:r>
              <w:rPr>
                <w:rFonts w:eastAsia="Arial" w:cs="Arial" w:ascii="Arial" w:hAnsi="Arial"/>
                <w:sz w:val="16"/>
                <w:szCs w:val="16"/>
              </w:rPr>
              <w:t> </w:t>
            </w:r>
          </w:p>
        </w:tc>
        <w:tc>
          <w:tcPr>
            <w:tcW w:w="683" w:type="dxa"/>
            <w:tcBorders>
              <w:top w:val="single" w:sz="4" w:space="0" w:color="000000"/>
              <w:bottom w:val="single" w:sz="4" w:space="0" w:color="000000"/>
            </w:tcBorders>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933" w:type="dxa"/>
            <w:tcBorders>
              <w:top w:val="single" w:sz="4" w:space="0" w:color="000000"/>
              <w:bottom w:val="single" w:sz="4" w:space="0" w:color="000000"/>
            </w:tcBorders>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901" w:type="dxa"/>
            <w:tcBorders>
              <w:top w:val="single" w:sz="4" w:space="0" w:color="000000"/>
              <w:bottom w:val="single" w:sz="4" w:space="0" w:color="000000"/>
            </w:tcBorders>
            <w:vAlign w:val="center"/>
          </w:tcPr>
          <w:p>
            <w:pPr>
              <w:pStyle w:val="normal1"/>
              <w:widowControl/>
              <w:jc w:val="both"/>
              <w:rPr>
                <w:rFonts w:ascii="Arial" w:hAnsi="Arial" w:eastAsia="Arial" w:cs="Arial"/>
                <w:sz w:val="16"/>
                <w:szCs w:val="16"/>
              </w:rPr>
            </w:pPr>
            <w:r>
              <w:rPr>
                <w:rFonts w:eastAsia="Arial" w:cs="Arial" w:ascii="Arial" w:hAnsi="Arial"/>
                <w:sz w:val="16"/>
                <w:szCs w:val="16"/>
              </w:rPr>
              <w:t> </w:t>
            </w:r>
          </w:p>
        </w:tc>
        <w:tc>
          <w:tcPr>
            <w:tcW w:w="620" w:type="dxa"/>
            <w:tcBorders>
              <w:top w:val="single" w:sz="4" w:space="0" w:color="000000"/>
              <w:bottom w:val="single" w:sz="4" w:space="0" w:color="000000"/>
            </w:tcBorders>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EEEEEE"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r>
      <w:tr>
        <w:trPr>
          <w:trHeight w:val="255" w:hRule="atLeast"/>
        </w:trPr>
        <w:tc>
          <w:tcPr>
            <w:tcW w:w="452" w:type="dxa"/>
            <w:tcBorders>
              <w:top w:val="single" w:sz="4" w:space="0" w:color="000000"/>
              <w:bottom w:val="single" w:sz="4" w:space="0" w:color="000000"/>
            </w:tcBorders>
            <w:shd w:fill="CCCCCC" w:val="clear"/>
            <w:vAlign w:val="center"/>
          </w:tcPr>
          <w:p>
            <w:pPr>
              <w:pStyle w:val="normal1"/>
              <w:widowControl/>
              <w:rPr>
                <w:rFonts w:ascii="Arial" w:hAnsi="Arial" w:eastAsia="Arial" w:cs="Arial"/>
                <w:sz w:val="16"/>
                <w:szCs w:val="16"/>
              </w:rPr>
            </w:pPr>
            <w:r>
              <w:rPr>
                <w:rFonts w:eastAsia="Arial" w:cs="Arial" w:ascii="Arial" w:hAnsi="Arial"/>
                <w:b/>
                <w:bCs/>
                <w:sz w:val="16"/>
                <w:szCs w:val="16"/>
              </w:rPr>
              <w:t> </w:t>
            </w:r>
          </w:p>
        </w:tc>
        <w:tc>
          <w:tcPr>
            <w:tcW w:w="683" w:type="dxa"/>
            <w:tcBorders>
              <w:top w:val="single" w:sz="4" w:space="0" w:color="000000"/>
              <w:bottom w:val="single" w:sz="4" w:space="0" w:color="000000"/>
            </w:tcBorders>
            <w:shd w:fill="CCCCCC"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933" w:type="dxa"/>
            <w:tcBorders>
              <w:top w:val="single" w:sz="4" w:space="0" w:color="000000"/>
              <w:bottom w:val="single" w:sz="4" w:space="0" w:color="000000"/>
            </w:tcBorders>
            <w:shd w:fill="CCCCCC" w:val="clear"/>
            <w:vAlign w:val="center"/>
          </w:tcPr>
          <w:p>
            <w:pPr>
              <w:pStyle w:val="normal1"/>
              <w:widowControl/>
              <w:jc w:val="center"/>
              <w:rPr>
                <w:rFonts w:ascii="Arial" w:hAnsi="Arial" w:eastAsia="Arial" w:cs="Arial"/>
                <w:sz w:val="16"/>
                <w:szCs w:val="16"/>
              </w:rPr>
            </w:pPr>
            <w:r>
              <w:rPr>
                <w:rFonts w:eastAsia="Arial" w:cs="Arial" w:ascii="Arial" w:hAnsi="Arial"/>
                <w:b/>
                <w:bCs/>
                <w:sz w:val="16"/>
                <w:szCs w:val="16"/>
              </w:rPr>
              <w:t> </w:t>
            </w:r>
          </w:p>
        </w:tc>
        <w:tc>
          <w:tcPr>
            <w:tcW w:w="1901" w:type="dxa"/>
            <w:tcBorders>
              <w:top w:val="single" w:sz="4" w:space="0" w:color="000000"/>
              <w:bottom w:val="single" w:sz="4" w:space="0" w:color="000000"/>
            </w:tcBorders>
            <w:shd w:fill="CCCCCC"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TOTAL GERAL</w:t>
            </w:r>
          </w:p>
        </w:tc>
        <w:tc>
          <w:tcPr>
            <w:tcW w:w="620" w:type="dxa"/>
            <w:tcBorders>
              <w:top w:val="single" w:sz="4" w:space="0" w:color="000000"/>
              <w:bottom w:val="single" w:sz="4" w:space="0" w:color="000000"/>
            </w:tcBorders>
            <w:shd w:fill="CCCCCC" w:val="clear"/>
            <w:vAlign w:val="center"/>
          </w:tcPr>
          <w:p>
            <w:pPr>
              <w:pStyle w:val="normal1"/>
              <w:widowControl/>
              <w:jc w:val="center"/>
              <w:rPr>
                <w:rFonts w:ascii="Arial" w:hAnsi="Arial" w:eastAsia="Arial" w:cs="Arial"/>
                <w:sz w:val="16"/>
                <w:szCs w:val="16"/>
              </w:rPr>
            </w:pPr>
            <w:r>
              <w:rPr>
                <w:rFonts w:eastAsia="Arial" w:cs="Arial" w:ascii="Arial" w:hAnsi="Arial"/>
                <w:sz w:val="16"/>
                <w:szCs w:val="16"/>
              </w:rPr>
              <w:t> </w:t>
            </w:r>
          </w:p>
        </w:tc>
        <w:tc>
          <w:tcPr>
            <w:tcW w:w="1019" w:type="dxa"/>
            <w:tcBorders>
              <w:top w:val="single" w:sz="4" w:space="0" w:color="000000"/>
              <w:bottom w:val="single" w:sz="4" w:space="0" w:color="000000"/>
            </w:tcBorders>
            <w:shd w:fill="CCCCCC"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6" w:type="dxa"/>
            <w:tcBorders>
              <w:top w:val="single" w:sz="4" w:space="0" w:color="000000"/>
              <w:bottom w:val="single" w:sz="4" w:space="0" w:color="000000"/>
            </w:tcBorders>
            <w:shd w:fill="CCCCCC"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913" w:type="dxa"/>
            <w:tcBorders>
              <w:top w:val="single" w:sz="4" w:space="0" w:color="000000"/>
              <w:bottom w:val="single" w:sz="4" w:space="0" w:color="000000"/>
            </w:tcBorders>
            <w:shd w:fill="CCCCCC"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852" w:type="dxa"/>
            <w:tcBorders>
              <w:top w:val="single" w:sz="4" w:space="0" w:color="000000"/>
              <w:bottom w:val="single" w:sz="4" w:space="0" w:color="000000"/>
            </w:tcBorders>
            <w:shd w:fill="CCCCCC" w:val="clear"/>
            <w:vAlign w:val="center"/>
          </w:tcPr>
          <w:p>
            <w:pPr>
              <w:pStyle w:val="normal1"/>
              <w:widowControl/>
              <w:jc w:val="end"/>
              <w:rPr>
                <w:rFonts w:ascii="Arial" w:hAnsi="Arial" w:eastAsia="Arial" w:cs="Arial"/>
                <w:sz w:val="16"/>
                <w:szCs w:val="16"/>
              </w:rPr>
            </w:pPr>
            <w:r>
              <w:rPr>
                <w:rFonts w:eastAsia="Arial" w:cs="Arial" w:ascii="Arial" w:hAnsi="Arial"/>
                <w:sz w:val="16"/>
                <w:szCs w:val="16"/>
              </w:rPr>
              <w:t> </w:t>
            </w:r>
          </w:p>
        </w:tc>
        <w:tc>
          <w:tcPr>
            <w:tcW w:w="2060" w:type="dxa"/>
            <w:tcBorders>
              <w:top w:val="single" w:sz="4" w:space="0" w:color="000000"/>
              <w:bottom w:val="single" w:sz="4" w:space="0" w:color="000000"/>
            </w:tcBorders>
            <w:shd w:fill="CCCCCC" w:val="clear"/>
            <w:vAlign w:val="center"/>
          </w:tcPr>
          <w:p>
            <w:pPr>
              <w:pStyle w:val="normal1"/>
              <w:widowControl/>
              <w:jc w:val="end"/>
              <w:rPr>
                <w:rFonts w:ascii="Arial" w:hAnsi="Arial" w:eastAsia="Arial" w:cs="Arial"/>
                <w:sz w:val="16"/>
                <w:szCs w:val="16"/>
              </w:rPr>
            </w:pPr>
            <w:r>
              <w:rPr>
                <w:rFonts w:eastAsia="Arial" w:cs="Arial" w:ascii="Arial" w:hAnsi="Arial"/>
                <w:b/>
                <w:bCs/>
                <w:sz w:val="16"/>
                <w:szCs w:val="16"/>
              </w:rPr>
              <w:t xml:space="preserve">   </w:t>
            </w:r>
            <w:r>
              <w:rPr>
                <w:rFonts w:eastAsia="Arial" w:cs="Arial" w:ascii="Arial" w:hAnsi="Arial"/>
                <w:b/>
                <w:bCs/>
                <w:sz w:val="16"/>
                <w:szCs w:val="16"/>
              </w:rPr>
              <w:t xml:space="preserve">5.999.939,53 </w:t>
            </w:r>
          </w:p>
        </w:tc>
      </w:tr>
    </w:tbl>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9" w:start="360"/>
        <w:jc w:val="both"/>
        <w:rPr>
          <w:rFonts w:ascii="Arial" w:hAnsi="Arial" w:eastAsia="Arial" w:cs="Arial"/>
          <w:b/>
          <w:bCs/>
          <w:sz w:val="24"/>
          <w:szCs w:val="24"/>
        </w:rPr>
      </w:pPr>
      <w:r>
        <w:rPr>
          <w:rFonts w:eastAsia="Arial" w:cs="Arial" w:ascii="Arial" w:hAnsi="Arial"/>
          <w:b/>
          <w:bCs/>
          <w:sz w:val="24"/>
          <w:szCs w:val="24"/>
        </w:rPr>
        <w:t>LOCAL DE EXECUÇÃO DOS SERVIÇOS</w:t>
      </w:r>
    </w:p>
    <w:p>
      <w:pPr>
        <w:pStyle w:val="normal1"/>
        <w:widowControl/>
        <w:spacing w:lineRule="auto" w:line="360" w:before="0" w:after="160"/>
        <w:jc w:val="both"/>
        <w:rPr>
          <w:rFonts w:ascii="Arial" w:hAnsi="Arial" w:eastAsia="Arial" w:cs="Arial"/>
          <w:sz w:val="24"/>
          <w:szCs w:val="24"/>
        </w:rPr>
      </w:pPr>
      <w:r>
        <w:rPr>
          <w:rFonts w:eastAsia="Arial" w:cs="Arial" w:ascii="Arial" w:hAnsi="Arial"/>
          <w:color w:val="111111"/>
          <w:sz w:val="24"/>
          <w:szCs w:val="24"/>
        </w:rPr>
        <w:t>As localizações dos serviços são em diversas ruas de Florianópolis nos diversos bairros do município e serão executados conforme as demandas solicitadas pelo Setor de Manutenção.  Para as lajotas novas essas deverão ser utilizadas em pequenas ruas ainda sem pavimentação, não havendo a necessidade de projeto de engenharia tendo em vista que adotaremos soluções de pavimentação já utilizadas pela PMF-SMI (projeto tipo).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23"/>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9" w:start="360"/>
        <w:jc w:val="both"/>
        <w:rPr>
          <w:rFonts w:ascii="Arial" w:hAnsi="Arial" w:eastAsia="Arial" w:cs="Arial"/>
          <w:b/>
          <w:bCs/>
          <w:sz w:val="24"/>
          <w:szCs w:val="24"/>
        </w:rPr>
      </w:pPr>
      <w:r>
        <w:rPr>
          <w:rFonts w:eastAsia="Arial" w:cs="Arial" w:ascii="Arial" w:hAnsi="Arial"/>
          <w:b/>
          <w:bCs/>
          <w:sz w:val="24"/>
          <w:szCs w:val="24"/>
        </w:rPr>
        <w:t>PRAZO DE INÍCIO DA EXECUÇÃO DOS SERVIÇOS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início das obras e serviços deverá se dar após a assinatura do contrato e o recebimento formal da ORDEM DE SERVIÇO.</w:t>
      </w:r>
      <w:r>
        <w:rPr>
          <w:rFonts w:eastAsia="Arial" w:cs="Arial" w:ascii="Arial" w:hAnsi="Arial"/>
          <w:b/>
          <w:bCs/>
          <w:sz w:val="24"/>
          <w:szCs w:val="24"/>
        </w:rPr>
        <w:t xml:space="preserve">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prazo global (cronograma) para a execução de todos os serviços referentes à obra está no orçamento geral da obra em anexo.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A </w:t>
      </w:r>
      <w:r>
        <w:rPr>
          <w:rFonts w:eastAsia="Arial" w:cs="Arial" w:ascii="Arial" w:hAnsi="Arial"/>
          <w:b/>
          <w:bCs/>
          <w:sz w:val="24"/>
          <w:szCs w:val="24"/>
        </w:rPr>
        <w:t>CONTRATADA</w:t>
      </w:r>
      <w:r>
        <w:rPr>
          <w:rFonts w:eastAsia="Arial" w:cs="Arial" w:ascii="Arial" w:hAnsi="Arial"/>
          <w:sz w:val="24"/>
          <w:szCs w:val="24"/>
        </w:rPr>
        <w:t xml:space="preserve"> executará todos os serviços referentes à obra, dentro do prazo fixado, obrigando-se a entregar os mesmos ao cabo desse Prazo Global, inteiramente concluídos com as licenças exigidas pelos órgãos competentes. Salvo quando ocorrer fato superveniente estranho às condições contratuais inicialmente avençadas.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PRAZOS PARCIAIS E CRONOGRAMA</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O desenvolvimento dos serviços e obras contratados obedecerá ao Cronograma Inicial, documento que integrará o Contrato para todos os efeitos legais, e em atendimento ao relatório de demanda de necessidades a ser fornecido pela </w:t>
      </w:r>
      <w:r>
        <w:rPr>
          <w:rFonts w:eastAsia="Arial" w:cs="Arial" w:ascii="Arial" w:hAnsi="Arial"/>
          <w:b/>
          <w:bCs/>
          <w:sz w:val="24"/>
          <w:szCs w:val="24"/>
        </w:rPr>
        <w:t>FISCALIZAÇÃO</w:t>
      </w:r>
      <w:r>
        <w:rPr>
          <w:rFonts w:eastAsia="Arial" w:cs="Arial" w:ascii="Arial" w:hAnsi="Arial"/>
          <w:sz w:val="24"/>
          <w:szCs w:val="24"/>
        </w:rPr>
        <w:t>.</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Cronograma inicial, anexo, do tipo “físico-financeiro” contém os valores parcelados para a execução de cada um dos serviços que compõe a obra, e terá vinculação total com as prestações constantes da Forma de Pagamento acordada entre as partes.</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Os prazos expressos no Cronograma Inicial serão contados sempre em dias corridos, a contar da data de expedição da Ordem de Serviço, até a data da expiração do prazo para a conclusão do contrato. Por se tratar de um serviço continuo o contrato poderá ser renovado sucessivamente conforme os Art. 106 e 107 da Lei 14.133/2021.  </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PRAZO DE VIGÊNCIA DO CONTRATO – 360 DIAS</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9. CONDIÇÕES DE RECEBIMENTO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O recebimento do objeto deste contrato ficará condicionado a observância das normas contidas na Lei 14.133/2021, sendo que a conferência e o recebimento ficarão sob as responsabilidades de Servidor fiscal do contrato.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O serviço contratado deverá ser conferido por técnicos capacitados da CONTRATADA. Se, após o recebimento provisório, constatar-se que o serviço foi entregue em desacordo com a proposta, com defeito, fora de especificação ou incompleto, após a notificação à Contratada serão interrompidos os prazos de recebimento e suspenso o pagamento, até que sanada a situação.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O recebimento provisório ou definitivo não exclui a responsabilidade civil pela solidez e segurança do serviço, nem ético-profissional pela perfeita execução do contrato, dentro dos limites estabelecidos pela lei ou pelo contrato.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O Recebimento Provisório poderá ser emitido até trinta (30) dias após o prazo de execução. O prazo de execução pode mudar caso ocorra algum aditivo do prazo de execução, devidamente justificado.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O Recebimento Definitivo somente será emitido após a aprovação de todos os serviços por parte da fiscalização e após a liquidação da Medição Final. O prazo para emissão deverá ocorrer em até trinta (30) dias após o prazo de vigência do contrato. O prazo de vigência pode mudar caso ocorra algum aditivo do prazo de vigência, devidamente justificado.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A CONTRATADA deverá manter preposto aceito pelo CONTRATANTE para representá-la na execução do contrato.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A CONTRATADA é obrigada a reparar, corrigir, remover, reconstruir ou substituir, às suas expensas, no total ou em parte, o objeto do contrato em que se verificarem vícios, defeitos ou incorreções resultantes da execução ou de materiais empregados.</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A CONTRATADA é responsável pelos danos causados diretamente ao CONTRATANTE ou a terceiros decorrentes de sua culpa ou dolo na execução do contrato, não excluindo ou reduzindo essa responsabilidade a fiscalização ou o acompanhamento pelo órgão interessado.</w:t>
      </w:r>
    </w:p>
    <w:p>
      <w:pPr>
        <w:pStyle w:val="normal1"/>
        <w:widowControl/>
        <w:spacing w:lineRule="auto" w:line="360"/>
        <w:jc w:val="both"/>
        <w:rPr>
          <w:rFonts w:ascii="Arial" w:hAnsi="Arial" w:eastAsia="Arial" w:cs="Arial"/>
          <w:sz w:val="24"/>
          <w:szCs w:val="24"/>
        </w:rPr>
      </w:pPr>
      <w:r>
        <w:rPr>
          <w:rFonts w:eastAsia="Arial" w:cs="Arial" w:ascii="Arial" w:hAnsi="Arial"/>
          <w:sz w:val="24"/>
          <w:szCs w:val="24"/>
        </w:rPr>
        <w:t>O CONTRATANTE rejeitará, no todo ou em parte, serviço executado em desacordo com o contrato.</w:t>
      </w:r>
    </w:p>
    <w:p>
      <w:pPr>
        <w:pStyle w:val="normal1"/>
        <w:widowControl/>
        <w:spacing w:lineRule="auto" w:line="360"/>
        <w:rPr>
          <w:rFonts w:ascii="Arial" w:hAnsi="Arial" w:eastAsia="Arial" w:cs="Arial"/>
          <w:sz w:val="24"/>
          <w:szCs w:val="24"/>
        </w:rPr>
      </w:pPr>
      <w:r>
        <w:rPr>
          <w:rFonts w:eastAsia="Arial" w:cs="Arial" w:ascii="Arial" w:hAnsi="Arial"/>
          <w:sz w:val="24"/>
          <w:szCs w:val="24"/>
        </w:rPr>
        <w:t>.</w:t>
      </w:r>
    </w:p>
    <w:p>
      <w:pPr>
        <w:pStyle w:val="normal1"/>
        <w:widowControl/>
        <w:spacing w:lineRule="auto" w:line="360"/>
        <w:rPr>
          <w:rFonts w:ascii="Arial" w:hAnsi="Arial" w:eastAsia="Arial" w:cs="Arial"/>
          <w:sz w:val="24"/>
          <w:szCs w:val="24"/>
        </w:rPr>
      </w:pPr>
      <w:r>
        <w:rPr>
          <w:rFonts w:eastAsia="Arial" w:cs="Arial" w:ascii="Arial" w:hAnsi="Arial"/>
          <w:sz w:val="24"/>
          <w:szCs w:val="24"/>
        </w:rPr>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10. FORMA DE SOLICITAÇÃO DO SERVIÇOS.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Todas as ordens de serviço ou comunicações da FISCALIZAÇÃO para a CONTRATADA, e vice-versa, serão transmitidas por escrito e só assim produzirão seus efeitos. As ordens de serviços serão entregues em duas vias, uma das quais ficará em poder do transmitente depois de visadas pelo destinatário.</w:t>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11. FORMALIZAÇÃO DO CONTRATO</w:t>
      </w:r>
    </w:p>
    <w:p>
      <w:pPr>
        <w:pStyle w:val="normal1"/>
        <w:widowControl/>
        <w:tabs>
          <w:tab w:val="clear" w:pos="720"/>
          <w:tab w:val="left" w:pos="1276" w:leader="none"/>
        </w:tabs>
        <w:spacing w:lineRule="auto" w:line="360"/>
        <w:jc w:val="both"/>
        <w:rPr>
          <w:rFonts w:ascii="Arial" w:hAnsi="Arial" w:eastAsia="Arial" w:cs="Arial"/>
          <w:sz w:val="24"/>
          <w:szCs w:val="24"/>
        </w:rPr>
      </w:pPr>
      <w:r>
        <w:rPr>
          <w:rFonts w:eastAsia="Arial" w:cs="Arial" w:ascii="Arial" w:hAnsi="Arial"/>
          <w:sz w:val="24"/>
          <w:szCs w:val="24"/>
        </w:rPr>
        <w:t>Os serviços, objeto deste Termo de Referência, serão formalizados pelo instrumento de CONTRATO, contados a partir de sua assinatura, admitida a prorrogação nos termos da lei, mediante termo aditivo, nos termos do disposto na Lei 14133/21 e Decreto 24954/2023.</w:t>
      </w:r>
    </w:p>
    <w:p>
      <w:pPr>
        <w:pStyle w:val="normal1"/>
        <w:widowControl/>
        <w:tabs>
          <w:tab w:val="clear" w:pos="720"/>
          <w:tab w:val="left" w:pos="1276" w:leader="none"/>
        </w:tabs>
        <w:spacing w:lineRule="auto" w:line="360"/>
        <w:ind w:firstLine="426"/>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 xml:space="preserve">GARANTIA CONTRATUAL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 CONTRATADA deverá prestar garantia de 5% (cinco por cento) conforme consta nos art. 96 a 102 da Lei 14133/2021.</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GARANTIA DA PRESTAÇÃO DO SERVIÇO</w:t>
      </w:r>
      <w:r>
        <w:rPr>
          <w:rFonts w:eastAsia="Arial" w:cs="Arial" w:ascii="Arial" w:hAnsi="Arial"/>
          <w:sz w:val="24"/>
          <w:szCs w:val="24"/>
        </w:rPr>
        <w:t>.</w:t>
      </w:r>
    </w:p>
    <w:p>
      <w:pPr>
        <w:pStyle w:val="normal1"/>
        <w:widowControl/>
        <w:spacing w:lineRule="auto" w:line="360"/>
        <w:ind w:hanging="0" w:start="360"/>
        <w:jc w:val="both"/>
        <w:rPr>
          <w:rFonts w:ascii="Arial" w:hAnsi="Arial" w:eastAsia="Arial" w:cs="Arial"/>
          <w:sz w:val="24"/>
          <w:szCs w:val="24"/>
        </w:rPr>
      </w:pPr>
      <w:r>
        <w:rPr>
          <w:rFonts w:eastAsia="Arial" w:cs="Arial" w:ascii="Arial" w:hAnsi="Arial"/>
          <w:sz w:val="24"/>
          <w:szCs w:val="24"/>
        </w:rPr>
        <w:t>As garantias da prestação de serviços estão estabelecidas no art. 96 da Lei 14133/2021.</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ESTIMATIVA DE CUSTO, DOTAÇÃO ORÇAMENTÁRIA E REAJUSTAMENTO.</w:t>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14.1 CUSTOS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 estimativa de custo prevista para a execução de todos os serviços a serem contratados está prevista na planilha orçamentária anexa.</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O valor da planilha é de: R$ 5.999.939,53 (cinco milhões, novecentos e noventa e nove mil, novecentos e trinta e nove reais, e cinquenta e três centavos).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14.2 DOTAÇÃO ORÇAMENTÁRIA</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As despesas decorrentes desta licitação, relativas ao ano de 2026, correrão por conta da dotação orçamentária prevista para a Secretaria Municipal de Infraestrutura E Manutenção da Cidade, da Prefeitura Municipal de Florianópolis.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Órgão/Unidade: 14.003 - Fundo Municipal de Desenvolvimento Urbano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Ação: 2.157 - PROGRAMA DE APOIO FUNDO DE DESENVOLVIMENTO URBANO LC 482/14</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Natureza da Despesa: 4.4.90 - Aplicações Diretas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Fonte de recurso: 6423 - Operação de Crédito Banco do Brasil Lei 11.482/25 - II</w:t>
      </w:r>
    </w:p>
    <w:p>
      <w:pPr>
        <w:pStyle w:val="normal1"/>
        <w:widowControl/>
        <w:tabs>
          <w:tab w:val="clear" w:pos="720"/>
          <w:tab w:val="left" w:pos="1245" w:leader="none"/>
        </w:tabs>
        <w:spacing w:lineRule="auto" w:line="360" w:before="0" w:after="160"/>
        <w:jc w:val="both"/>
        <w:rPr>
          <w:rFonts w:ascii="Arial" w:hAnsi="Arial" w:eastAsia="Arial" w:cs="Arial"/>
          <w:color w:val="111111"/>
          <w:sz w:val="24"/>
          <w:szCs w:val="24"/>
        </w:rPr>
      </w:pPr>
      <w:r>
        <w:rPr>
          <w:rFonts w:eastAsia="Arial" w:cs="Arial" w:ascii="Arial" w:hAnsi="Arial"/>
          <w:color w:val="111111"/>
          <w:sz w:val="24"/>
          <w:szCs w:val="24"/>
        </w:rPr>
        <w:t>Previsão da Contratação no PCA – Está na previsão orçamentária (orçamento) da SMIMC e que está regulamentado nas atribuições da SMIMC conforme Lei Complementar nº 736 de 2 de janeiro de 2023.</w:t>
      </w:r>
    </w:p>
    <w:p>
      <w:pPr>
        <w:pStyle w:val="normal1"/>
        <w:widowControl/>
        <w:tabs>
          <w:tab w:val="clear" w:pos="720"/>
          <w:tab w:val="left" w:pos="7155" w:leader="none"/>
        </w:tabs>
        <w:spacing w:lineRule="auto" w:line="252" w:before="171" w:after="171"/>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As despesas que seguirem nos exercícios subsequentes correrão à conta de Dotações Orçamentárias que forem consignadas no orçamento do Município e as alterações se processarão por meio de simples procedimento administrativo.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pBdr>
          <w:top w:val="single" w:sz="4" w:space="1" w:color="000000"/>
          <w:left w:val="single" w:sz="4" w:space="4" w:color="000000"/>
          <w:bottom w:val="single" w:sz="4" w:space="1" w:color="000000"/>
          <w:right w:val="single" w:sz="4" w:space="4" w:color="000000"/>
        </w:pBdr>
        <w:shd w:val="clear" w:fill="F2F2F2"/>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14.3 REAJUSTAMENTO</w:t>
      </w:r>
    </w:p>
    <w:p>
      <w:pPr>
        <w:pStyle w:val="normal1"/>
        <w:spacing w:lineRule="auto" w:line="360"/>
        <w:jc w:val="both"/>
        <w:rPr>
          <w:rFonts w:ascii="Arial" w:hAnsi="Arial" w:eastAsia="Arial" w:cs="Arial"/>
          <w:sz w:val="24"/>
          <w:szCs w:val="24"/>
        </w:rPr>
      </w:pPr>
      <w:r>
        <w:rPr>
          <w:rFonts w:eastAsia="Arial" w:cs="Arial" w:ascii="Arial" w:hAnsi="Arial"/>
          <w:sz w:val="24"/>
          <w:szCs w:val="24"/>
        </w:rPr>
        <w:t>Os preços inicialmente contratados somente poderão ser reajustados após o prazo de um ano, contado da data base do orçamento estimado.</w:t>
      </w:r>
    </w:p>
    <w:p>
      <w:pPr>
        <w:pStyle w:val="normal1"/>
        <w:spacing w:lineRule="auto" w:line="360"/>
        <w:jc w:val="both"/>
        <w:rPr>
          <w:rFonts w:ascii="Arial" w:hAnsi="Arial" w:eastAsia="Arial" w:cs="Arial"/>
          <w:sz w:val="24"/>
          <w:szCs w:val="24"/>
        </w:rPr>
      </w:pPr>
      <w:r>
        <w:rPr>
          <w:rFonts w:eastAsia="Arial" w:cs="Arial" w:ascii="Arial" w:hAnsi="Arial"/>
          <w:sz w:val="24"/>
          <w:szCs w:val="24"/>
        </w:rPr>
        <w:t>Após o interregno de 1 (um) ano, contado a partir do mês-base do orçamento, e independentemente de pedido do contratado, o reajuste será aplicado pelos índices setoriais pertinentes, com base nos valores dos índices do 1º mês de cada período subsequente de 12 (doze) meses.</w:t>
      </w:r>
    </w:p>
    <w:p>
      <w:pPr>
        <w:pStyle w:val="normal1"/>
        <w:spacing w:lineRule="auto" w:line="360"/>
        <w:jc w:val="both"/>
        <w:rPr>
          <w:rFonts w:ascii="Arial" w:hAnsi="Arial" w:eastAsia="Arial" w:cs="Arial"/>
          <w:sz w:val="24"/>
          <w:szCs w:val="24"/>
        </w:rPr>
      </w:pPr>
      <w:r>
        <w:rPr>
          <w:rFonts w:eastAsia="Arial" w:cs="Arial" w:ascii="Arial" w:hAnsi="Arial"/>
          <w:sz w:val="24"/>
          <w:szCs w:val="24"/>
        </w:rPr>
        <w:t>Os índices de reajustamento se baseiam nas diretrizes da Instrução Normativa nº 1/DNIT SEDE, de 24 de janeiro de 2023, que regulamenta a aplicação dos índices de reajustamentos de contratos de obras e serviços de engenharia.</w:t>
      </w:r>
    </w:p>
    <w:p>
      <w:pPr>
        <w:pStyle w:val="normal1"/>
        <w:spacing w:lineRule="auto" w:line="360"/>
        <w:jc w:val="both"/>
        <w:rPr>
          <w:rFonts w:ascii="Arial" w:hAnsi="Arial" w:eastAsia="Arial" w:cs="Arial"/>
          <w:sz w:val="24"/>
          <w:szCs w:val="24"/>
        </w:rPr>
      </w:pPr>
      <w:r>
        <w:rPr>
          <w:rFonts w:eastAsia="Arial" w:cs="Arial" w:ascii="Arial" w:hAnsi="Arial"/>
          <w:sz w:val="24"/>
          <w:szCs w:val="24"/>
        </w:rPr>
        <w:t>Não se admitirá como encargo financeiro, juros, despesas bancárias e ônus semelhantes.</w:t>
      </w:r>
    </w:p>
    <w:p>
      <w:pPr>
        <w:pStyle w:val="normal1"/>
        <w:spacing w:lineRule="auto" w:line="360"/>
        <w:jc w:val="both"/>
        <w:rPr>
          <w:rFonts w:ascii="Arial" w:hAnsi="Arial" w:eastAsia="Arial" w:cs="Arial"/>
          <w:sz w:val="24"/>
          <w:szCs w:val="24"/>
        </w:rPr>
      </w:pPr>
      <w:r>
        <w:rPr>
          <w:rFonts w:eastAsia="Arial" w:cs="Arial" w:ascii="Arial" w:hAnsi="Arial"/>
          <w:sz w:val="24"/>
          <w:szCs w:val="24"/>
        </w:rPr>
        <w:t>O valor da parcela de reajustamento deverá ser calculado conforme regra definida a seguir:</w:t>
      </w:r>
    </w:p>
    <w:p>
      <w:pPr>
        <w:pStyle w:val="normal1"/>
        <w:widowControl/>
        <w:spacing w:lineRule="auto" w:line="360" w:before="0" w:after="160"/>
        <w:jc w:val="center"/>
        <w:rPr>
          <w:rFonts w:ascii="Arial" w:hAnsi="Arial" w:eastAsia="Arial" w:cs="Arial"/>
          <w:sz w:val="24"/>
          <w:szCs w:val="24"/>
        </w:rPr>
      </w:pPr>
      <w:r>
        <w:rPr/>
        <w:drawing>
          <wp:inline distT="0" distB="0" distL="0" distR="0">
            <wp:extent cx="1180465" cy="431800"/>
            <wp:effectExtent l="0" t="0" r="0" b="0"/>
            <wp:docPr id="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png"/>
                    <pic:cNvPicPr>
                      <a:picLocks noChangeAspect="1" noChangeArrowheads="1"/>
                    </pic:cNvPicPr>
                  </pic:nvPicPr>
                  <pic:blipFill>
                    <a:blip r:embed="rId21"/>
                    <a:stretch>
                      <a:fillRect/>
                    </a:stretch>
                  </pic:blipFill>
                  <pic:spPr bwMode="auto">
                    <a:xfrm>
                      <a:off x="0" y="0"/>
                      <a:ext cx="1180465" cy="431800"/>
                    </a:xfrm>
                    <a:prstGeom prst="rect">
                      <a:avLst/>
                    </a:prstGeom>
                    <a:noFill/>
                  </pic:spPr>
                </pic:pic>
              </a:graphicData>
            </a:graphic>
          </wp:inline>
        </w:drawing>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Onde:</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R = Valor da parcela de reajustamento a ser calculada;</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I</w:t>
      </w:r>
      <w:r>
        <w:rPr>
          <w:rFonts w:eastAsia="Arial" w:cs="Arial" w:ascii="Arial" w:hAnsi="Arial"/>
          <w:sz w:val="24"/>
          <w:szCs w:val="24"/>
          <w:vertAlign w:val="subscript"/>
        </w:rPr>
        <w:t>0</w:t>
      </w:r>
      <w:r>
        <w:rPr>
          <w:rFonts w:eastAsia="Arial" w:cs="Arial" w:ascii="Arial" w:hAnsi="Arial"/>
          <w:sz w:val="24"/>
          <w:szCs w:val="24"/>
        </w:rPr>
        <w:t xml:space="preserve"> = Índice de preço verificado no mês-base do contrato;</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I</w:t>
      </w:r>
      <w:r>
        <w:rPr>
          <w:rFonts w:eastAsia="Arial" w:cs="Arial" w:ascii="Arial" w:hAnsi="Arial"/>
          <w:sz w:val="24"/>
          <w:szCs w:val="24"/>
          <w:vertAlign w:val="subscript"/>
        </w:rPr>
        <w:t>i</w:t>
      </w:r>
      <w:r>
        <w:rPr>
          <w:rFonts w:eastAsia="Arial" w:cs="Arial" w:ascii="Arial" w:hAnsi="Arial"/>
          <w:sz w:val="24"/>
          <w:szCs w:val="24"/>
        </w:rPr>
        <w:t xml:space="preserve"> = Índice de preço referente ao mês de reajustamento;</w:t>
      </w:r>
    </w:p>
    <w:p>
      <w:pPr>
        <w:pStyle w:val="normal1"/>
        <w:widowControl/>
        <w:spacing w:lineRule="auto" w:line="360" w:before="0" w:after="160"/>
        <w:jc w:val="both"/>
        <w:rPr>
          <w:rFonts w:ascii="Arial" w:hAnsi="Arial" w:eastAsia="Arial" w:cs="Arial"/>
          <w:sz w:val="24"/>
          <w:szCs w:val="24"/>
        </w:rPr>
      </w:pPr>
      <w:bookmarkStart w:id="1" w:name="_heading=h.3acdprxgpdrp"/>
      <w:bookmarkEnd w:id="1"/>
      <w:r>
        <w:rPr>
          <w:rFonts w:eastAsia="Arial" w:cs="Arial" w:ascii="Arial" w:hAnsi="Arial"/>
          <w:sz w:val="24"/>
          <w:szCs w:val="24"/>
        </w:rPr>
        <w:t>V = Valor, a preços iniciais, da parcela do contrato ou serviço reajustado</w:t>
      </w:r>
    </w:p>
    <w:p>
      <w:pPr>
        <w:pStyle w:val="normal1"/>
        <w:spacing w:lineRule="auto" w:line="360"/>
        <w:jc w:val="both"/>
        <w:rPr>
          <w:rFonts w:ascii="Arial" w:hAnsi="Arial" w:eastAsia="Arial" w:cs="Arial"/>
          <w:sz w:val="24"/>
          <w:szCs w:val="24"/>
        </w:rPr>
      </w:pPr>
      <w:r>
        <w:rPr>
          <w:rFonts w:eastAsia="Arial" w:cs="Arial" w:ascii="Arial" w:hAnsi="Arial"/>
          <w:sz w:val="24"/>
          <w:szCs w:val="24"/>
        </w:rPr>
        <w:t>Para fins de contagem dos prazos previstos será considerado como data de assinatura do contrato a data da última assinatura (dia/mês/ano) dos signatários referenciados no preâmbulo do referido instrumento.</w:t>
      </w:r>
    </w:p>
    <w:p>
      <w:pPr>
        <w:pStyle w:val="normal1"/>
        <w:spacing w:lineRule="auto" w:line="360"/>
        <w:jc w:val="both"/>
        <w:rPr>
          <w:rFonts w:ascii="Arial" w:hAnsi="Arial" w:eastAsia="Arial" w:cs="Arial"/>
          <w:sz w:val="24"/>
          <w:szCs w:val="24"/>
        </w:rPr>
      </w:pPr>
      <w:r>
        <w:rPr>
          <w:rFonts w:eastAsia="Arial" w:cs="Arial" w:ascii="Arial" w:hAnsi="Arial"/>
          <w:sz w:val="24"/>
          <w:szCs w:val="24"/>
        </w:rPr>
        <w:t>O reajuste será realizado por termo aditivo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OBRIGAÇÕES DA CONTRATADA</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Cumprir fielmente as condições e exigências contidas neste Termo de Referência e nos Projetos e Plantas apresentados.</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Entregar os materiais/serviços de acordo com as condições, especificações e quantitativos estipulados neste Termo de Referência e Projetos e Plantas apresentados.</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Observar os critérios para a entrega do material.</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Substituir, às suas expensas, todos os materiais que apresentarem desconformidades pertinentes ao objeto.</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Responsabilizar-se pelos danos causados à administração ou a terceiros, decorrentes de sua culpa ou dolo, quando ao fornecimento do objeto deste Termo de Referência.</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Arcar com todas as despesas com frete, impostos, taxas, etc., que venham a incidir sobre o objeto.</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Comunicar à CONTRATANTE, diretoria Técnica de Engenharia qualquer anormalidade de caráter urgente referente ao fornecimento dos materiais ou serviços e prestar esclarecimentos cabíveis</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Cumprir rigorosamente os prazos estipulados nesse Termo de Referência.</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Responder por todas as despesas referentes às obrigações decorrentes do direito de propriedade intelectual, trabalhistas, tributárias, previdenciárias, fiscais e de acidentes de trabalho.</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Sujeitar-se a mais ampla e irrestrita fiscalização por parte do Fiscal do Contrato indicado pela CONTRATANTE para acompanhamento do fornecimento dos objetos, prestando todos os esclarecimentos que lhe forem solicitados e atendendo às reclamações formuladas;</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Fornecer ao fiscal do contrato sempre que necessário ou quando solicitado, com expensas à CONTRATADA, TESTES LABORATORIAIS COM LAUDO CONCLUSIVO que comprovem as características e especificações dos serviços entregues.</w:t>
      </w:r>
    </w:p>
    <w:p>
      <w:pPr>
        <w:pStyle w:val="normal1"/>
        <w:widowControl/>
        <w:numPr>
          <w:ilvl w:val="1"/>
          <w:numId w:val="5"/>
        </w:numPr>
        <w:tabs>
          <w:tab w:val="clear" w:pos="720"/>
          <w:tab w:val="left" w:pos="1245"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 xml:space="preserve">A </w:t>
      </w:r>
      <w:r>
        <w:rPr>
          <w:rFonts w:eastAsia="Arial" w:cs="Arial" w:ascii="Arial" w:hAnsi="Arial"/>
          <w:b/>
          <w:bCs/>
          <w:sz w:val="24"/>
          <w:szCs w:val="24"/>
        </w:rPr>
        <w:t>CONTRATADA</w:t>
      </w:r>
      <w:r>
        <w:rPr>
          <w:rFonts w:eastAsia="Arial" w:cs="Arial" w:ascii="Arial" w:hAnsi="Arial"/>
          <w:sz w:val="24"/>
          <w:szCs w:val="24"/>
        </w:rPr>
        <w:t xml:space="preserve"> providenciará livro para Diário da Obra com páginas tipograficamente numeradas, no qual se fará a anotação de todos os fatos que ocorrem na obra. Nele serão feitos apontamentos diários onde constarão, no mínimo, as seguintes informações:</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Número de operários em atividade;</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Etapa do serviço em andamento;</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Informações quanto ao tempo de execução das obras a partir do início dos serviços;</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Condições meteorológicas no dia;</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Assuntos de interesse geral da obra;</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Comunicações e ordens da Fiscalização;</w:t>
      </w:r>
    </w:p>
    <w:p>
      <w:pPr>
        <w:pStyle w:val="normal1"/>
        <w:widowControl/>
        <w:numPr>
          <w:ilvl w:val="0"/>
          <w:numId w:val="24"/>
        </w:numPr>
        <w:tabs>
          <w:tab w:val="clear" w:pos="720"/>
          <w:tab w:val="left" w:pos="709" w:leader="none"/>
        </w:tabs>
        <w:spacing w:lineRule="auto" w:line="240" w:before="0" w:after="160"/>
        <w:ind w:hanging="360" w:start="720"/>
        <w:jc w:val="both"/>
        <w:rPr>
          <w:b w:val="false"/>
          <w:bCs w:val="false"/>
          <w:sz w:val="24"/>
          <w:szCs w:val="24"/>
        </w:rPr>
      </w:pPr>
      <w:r>
        <w:rPr>
          <w:rFonts w:eastAsia="Arial" w:cs="Arial" w:ascii="Arial" w:hAnsi="Arial"/>
          <w:sz w:val="24"/>
          <w:szCs w:val="24"/>
        </w:rPr>
        <w:t>Anexo com o Relatório de fotos;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O diário deverá ser rubricado diariamente pela </w:t>
      </w:r>
      <w:r>
        <w:rPr>
          <w:rFonts w:eastAsia="Arial" w:cs="Arial" w:ascii="Arial" w:hAnsi="Arial"/>
          <w:b/>
          <w:bCs/>
          <w:sz w:val="24"/>
          <w:szCs w:val="24"/>
        </w:rPr>
        <w:t>FISCALIZAÇÃO</w:t>
      </w:r>
      <w:r>
        <w:rPr>
          <w:rFonts w:eastAsia="Arial" w:cs="Arial" w:ascii="Arial" w:hAnsi="Arial"/>
          <w:sz w:val="24"/>
          <w:szCs w:val="24"/>
        </w:rPr>
        <w:t xml:space="preserve"> e pelo representante legal da </w:t>
      </w:r>
      <w:r>
        <w:rPr>
          <w:rFonts w:eastAsia="Arial" w:cs="Arial" w:ascii="Arial" w:hAnsi="Arial"/>
          <w:b/>
          <w:bCs/>
          <w:sz w:val="24"/>
          <w:szCs w:val="24"/>
        </w:rPr>
        <w:t>CONTRATADA</w:t>
      </w:r>
      <w:r>
        <w:rPr>
          <w:rFonts w:eastAsia="Arial" w:cs="Arial" w:ascii="Arial" w:hAnsi="Arial"/>
          <w:sz w:val="24"/>
          <w:szCs w:val="24"/>
        </w:rPr>
        <w:t>, e será utilizado como referência para sanar dúvidas que porventura venham a surgir quanto ao desempenho dos serviços.</w:t>
      </w:r>
    </w:p>
    <w:p>
      <w:pPr>
        <w:pStyle w:val="normal1"/>
        <w:widowControl/>
        <w:tabs>
          <w:tab w:val="clear" w:pos="720"/>
          <w:tab w:val="left" w:pos="1245" w:leader="none"/>
        </w:tabs>
        <w:spacing w:lineRule="auto" w:line="360" w:before="0" w:after="160"/>
        <w:ind w:hanging="0" w:start="720"/>
        <w:jc w:val="both"/>
        <w:rPr>
          <w:rFonts w:ascii="Arial" w:hAnsi="Arial" w:eastAsia="Arial" w:cs="Arial"/>
          <w:sz w:val="24"/>
          <w:szCs w:val="24"/>
        </w:rPr>
      </w:pPr>
      <w:r>
        <w:rPr>
          <w:rFonts w:eastAsia="Arial" w:cs="Arial" w:ascii="Arial" w:hAnsi="Arial"/>
          <w:sz w:val="24"/>
          <w:szCs w:val="24"/>
        </w:rPr>
        <w:t>A CONTRATADA poderá utilizar modelo de Diário de Obra fornecido pela Prefeitura Municipal de Florianópolis.</w:t>
      </w:r>
    </w:p>
    <w:p>
      <w:pPr>
        <w:pStyle w:val="normal1"/>
        <w:widowControl/>
        <w:numPr>
          <w:ilvl w:val="1"/>
          <w:numId w:val="5"/>
        </w:numPr>
        <w:tabs>
          <w:tab w:val="clear" w:pos="720"/>
          <w:tab w:val="left" w:pos="709" w:leader="none"/>
        </w:tabs>
        <w:spacing w:lineRule="auto" w:line="360" w:before="0" w:after="160"/>
        <w:ind w:hanging="360" w:start="1440"/>
        <w:jc w:val="both"/>
        <w:rPr>
          <w:rFonts w:ascii="Arial" w:hAnsi="Arial" w:eastAsia="Arial" w:cs="Arial"/>
          <w:sz w:val="24"/>
          <w:szCs w:val="24"/>
        </w:rPr>
      </w:pPr>
      <w:r>
        <w:rPr>
          <w:rFonts w:eastAsia="Arial" w:cs="Arial" w:ascii="Arial" w:hAnsi="Arial"/>
          <w:sz w:val="24"/>
          <w:szCs w:val="24"/>
        </w:rPr>
        <w:t xml:space="preserve">A obra deverá ser devidamente sinalizada com placas de advertência, cones de sinalização e cavaletes, de forma a evitar acidentes no decorrer de sua execução. Toda sinalização será de inteira responsabilidade da </w:t>
      </w:r>
      <w:r>
        <w:rPr>
          <w:rFonts w:eastAsia="Arial" w:cs="Arial" w:ascii="Arial" w:hAnsi="Arial"/>
          <w:b/>
          <w:bCs/>
          <w:sz w:val="24"/>
          <w:szCs w:val="24"/>
        </w:rPr>
        <w:t xml:space="preserve">CONTRATADA </w:t>
      </w:r>
      <w:r>
        <w:rPr>
          <w:rFonts w:eastAsia="Arial" w:cs="Arial" w:ascii="Arial" w:hAnsi="Arial"/>
          <w:sz w:val="24"/>
          <w:szCs w:val="24"/>
        </w:rPr>
        <w:t>independente de indicação expressa na planilha orçamentária.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Nos locais previamente definidos pela fiscalização deverá ser posicionado cavalete com a inscrição “</w:t>
      </w:r>
      <w:r>
        <w:rPr>
          <w:rFonts w:eastAsia="Arial" w:cs="Arial" w:ascii="Arial" w:hAnsi="Arial"/>
          <w:b/>
          <w:bCs/>
          <w:sz w:val="24"/>
          <w:szCs w:val="24"/>
        </w:rPr>
        <w:t>A SERVIÇO DA PMF</w:t>
      </w:r>
      <w:r>
        <w:rPr>
          <w:rFonts w:eastAsia="Arial" w:cs="Arial" w:ascii="Arial" w:hAnsi="Arial"/>
          <w:sz w:val="24"/>
          <w:szCs w:val="24"/>
        </w:rPr>
        <w:t xml:space="preserve">”, conforme padrão já estabelecido pela </w:t>
      </w:r>
      <w:r>
        <w:rPr>
          <w:rFonts w:eastAsia="Arial" w:cs="Arial" w:ascii="Arial" w:hAnsi="Arial"/>
          <w:b/>
          <w:bCs/>
          <w:sz w:val="24"/>
          <w:szCs w:val="24"/>
        </w:rPr>
        <w:t>CONTRATANTE</w:t>
      </w:r>
      <w:r>
        <w:rPr>
          <w:rFonts w:eastAsia="Arial" w:cs="Arial" w:ascii="Arial" w:hAnsi="Arial"/>
          <w:sz w:val="24"/>
          <w:szCs w:val="24"/>
        </w:rPr>
        <w:t>.</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SEGURANÇA E HIGIENE DO TRABALHO</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A </w:t>
      </w:r>
      <w:r>
        <w:rPr>
          <w:rFonts w:eastAsia="Arial" w:cs="Arial" w:ascii="Arial" w:hAnsi="Arial"/>
          <w:b/>
          <w:bCs/>
          <w:sz w:val="24"/>
          <w:szCs w:val="24"/>
        </w:rPr>
        <w:t>CONTRATADA</w:t>
      </w:r>
      <w:r>
        <w:rPr>
          <w:rFonts w:eastAsia="Arial" w:cs="Arial" w:ascii="Arial" w:hAnsi="Arial"/>
          <w:sz w:val="24"/>
          <w:szCs w:val="24"/>
        </w:rPr>
        <w:t xml:space="preserve"> deverá providenciar os EPIs (Equipamentos de Proteção Individuais) exigidos por lei, obrigando os operários envolvidos na obra, a utilização dos mesmos. Além dos EPIs deverão ser observadas permanentemente as exigências constantes na NR-24 que trata das condições sanitárias e de conforto dos locais de trabalho, assim como as Normas relativas a ergonometria ( NR-17 ) e as Normas referentes a edificações ( NR -18 ).</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São equipamentos de proteção individuais e coletivos essenciais à execução dos serviços: capacete, óculos de segurança, colete de sinalização, cone de sinalização, botina com biqueira de aço, luva de raspa, perneira de proteção de raspa, respirador semi facial descartáveis para vapores orgânicos VOP2, bandeirola, protetor solar, protetor auditivo e uniforme com a identificação da empresa </w:t>
      </w:r>
      <w:r>
        <w:rPr>
          <w:rFonts w:eastAsia="Arial" w:cs="Arial" w:ascii="Arial" w:hAnsi="Arial"/>
          <w:b/>
          <w:bCs/>
          <w:sz w:val="24"/>
          <w:szCs w:val="24"/>
        </w:rPr>
        <w:t>CONTRATADA</w:t>
      </w:r>
      <w:r>
        <w:rPr>
          <w:rFonts w:eastAsia="Arial" w:cs="Arial" w:ascii="Arial" w:hAnsi="Arial"/>
          <w:sz w:val="24"/>
          <w:szCs w:val="24"/>
        </w:rPr>
        <w:t>.</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Os critérios estabelecidos pela NR-18 especialmente os referentes à: instalações sanitárias coletivas, vestiários, depósitos de materiais, proteções para funcionamento e operação dos equipamentos eletro-mecânico, sinalizações de áreas de risco, devem ser seguidos pela CONTRATADA.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Caso a </w:t>
      </w:r>
      <w:r>
        <w:rPr>
          <w:rFonts w:eastAsia="Arial" w:cs="Arial" w:ascii="Arial" w:hAnsi="Arial"/>
          <w:b/>
          <w:bCs/>
          <w:sz w:val="24"/>
          <w:szCs w:val="24"/>
        </w:rPr>
        <w:t>CONTRATADA</w:t>
      </w:r>
      <w:r>
        <w:rPr>
          <w:rFonts w:eastAsia="Arial" w:cs="Arial" w:ascii="Arial" w:hAnsi="Arial"/>
          <w:sz w:val="24"/>
          <w:szCs w:val="24"/>
        </w:rPr>
        <w:t xml:space="preserve"> não obedeça à legislação vigente com relação aos padrões e necessidades de higiene e de segurança no trabalho, conforme o estabelecido pela NR-18, A</w:t>
      </w:r>
      <w:r>
        <w:rPr>
          <w:rFonts w:eastAsia="Arial" w:cs="Arial" w:ascii="Arial" w:hAnsi="Arial"/>
          <w:b/>
          <w:bCs/>
          <w:sz w:val="24"/>
          <w:szCs w:val="24"/>
        </w:rPr>
        <w:t xml:space="preserve"> CONTRATANTE</w:t>
      </w:r>
      <w:r>
        <w:rPr>
          <w:rFonts w:eastAsia="Arial" w:cs="Arial" w:ascii="Arial" w:hAnsi="Arial"/>
          <w:sz w:val="24"/>
          <w:szCs w:val="24"/>
        </w:rPr>
        <w:t>, por meio da</w:t>
      </w:r>
      <w:r>
        <w:rPr>
          <w:rFonts w:eastAsia="Arial" w:cs="Arial" w:ascii="Arial" w:hAnsi="Arial"/>
          <w:b/>
          <w:bCs/>
          <w:sz w:val="24"/>
          <w:szCs w:val="24"/>
        </w:rPr>
        <w:t xml:space="preserve"> FISCALIZAÇÃO</w:t>
      </w:r>
      <w:r>
        <w:rPr>
          <w:rFonts w:eastAsia="Arial" w:cs="Arial" w:ascii="Arial" w:hAnsi="Arial"/>
          <w:sz w:val="24"/>
          <w:szCs w:val="24"/>
        </w:rPr>
        <w:t xml:space="preserve"> poderá paralisar os serviços até que sejam definitivamente sanadas todas as irregularidades. A paralisação nesse caso não implicará em aumento do prazo estabelecido para a conclusão dos serviços, não cabendo a </w:t>
      </w:r>
      <w:r>
        <w:rPr>
          <w:rFonts w:eastAsia="Arial" w:cs="Arial" w:ascii="Arial" w:hAnsi="Arial"/>
          <w:b/>
          <w:bCs/>
          <w:sz w:val="24"/>
          <w:szCs w:val="24"/>
        </w:rPr>
        <w:t>CONTRATANTE</w:t>
      </w:r>
      <w:r>
        <w:rPr>
          <w:rFonts w:eastAsia="Arial" w:cs="Arial" w:ascii="Arial" w:hAnsi="Arial"/>
          <w:sz w:val="24"/>
          <w:szCs w:val="24"/>
        </w:rPr>
        <w:t xml:space="preserve"> apelação de qualquer tipo para as multas que porventura venham a ocorrer por atrasos decorrentes dessas irregularidades na conclusão das obras.</w:t>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t>A CONTRATADA deverá atender às Normas Regulamentadoras – NRs relativas à segurança e saúde do trabalho, em especial, as seguintes NRs:</w:t>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r>
    </w:p>
    <w:p>
      <w:pPr>
        <w:pStyle w:val="normal1"/>
        <w:widowControl/>
        <w:spacing w:lineRule="auto" w:line="360"/>
        <w:rPr>
          <w:rFonts w:ascii="Arial" w:hAnsi="Arial" w:eastAsia="Arial" w:cs="Arial"/>
          <w:sz w:val="24"/>
          <w:szCs w:val="24"/>
        </w:rPr>
      </w:pPr>
      <w:hyperlink r:id="rId22">
        <w:r>
          <w:rPr>
            <w:rStyle w:val="Style3"/>
            <w:rFonts w:eastAsia="Arial" w:cs="Arial" w:ascii="Arial" w:hAnsi="Arial"/>
            <w:color w:val="000080"/>
            <w:sz w:val="24"/>
            <w:szCs w:val="24"/>
            <w:u w:val="single"/>
          </w:rPr>
          <w:t>NR 01</w:t>
        </w:r>
      </w:hyperlink>
      <w:r>
        <w:rPr>
          <w:rFonts w:eastAsia="Arial" w:cs="Arial" w:ascii="Arial" w:hAnsi="Arial"/>
          <w:sz w:val="24"/>
          <w:szCs w:val="24"/>
        </w:rPr>
        <w:t> - Disposições Gerais;</w:t>
      </w:r>
    </w:p>
    <w:p>
      <w:pPr>
        <w:pStyle w:val="normal1"/>
        <w:widowControl/>
        <w:spacing w:lineRule="auto" w:line="360"/>
        <w:rPr>
          <w:rFonts w:ascii="Arial" w:hAnsi="Arial" w:eastAsia="Arial" w:cs="Arial"/>
          <w:sz w:val="24"/>
          <w:szCs w:val="24"/>
        </w:rPr>
      </w:pPr>
      <w:hyperlink r:id="rId23">
        <w:r>
          <w:rPr>
            <w:rStyle w:val="Style3"/>
            <w:rFonts w:eastAsia="Arial" w:cs="Arial" w:ascii="Arial" w:hAnsi="Arial"/>
            <w:color w:val="000080"/>
            <w:sz w:val="24"/>
            <w:szCs w:val="24"/>
            <w:u w:val="single"/>
          </w:rPr>
          <w:t>NR 03</w:t>
        </w:r>
      </w:hyperlink>
      <w:r>
        <w:rPr>
          <w:rFonts w:eastAsia="Arial" w:cs="Arial" w:ascii="Arial" w:hAnsi="Arial"/>
          <w:sz w:val="24"/>
          <w:szCs w:val="24"/>
        </w:rPr>
        <w:t> - Embargo ou Interdição;</w:t>
      </w:r>
    </w:p>
    <w:p>
      <w:pPr>
        <w:pStyle w:val="normal1"/>
        <w:widowControl/>
        <w:spacing w:lineRule="auto" w:line="360"/>
        <w:rPr>
          <w:rFonts w:ascii="Arial" w:hAnsi="Arial" w:eastAsia="Arial" w:cs="Arial"/>
          <w:sz w:val="24"/>
          <w:szCs w:val="24"/>
        </w:rPr>
      </w:pPr>
      <w:hyperlink r:id="rId24">
        <w:r>
          <w:rPr>
            <w:rStyle w:val="Style3"/>
            <w:rFonts w:eastAsia="Arial" w:cs="Arial" w:ascii="Arial" w:hAnsi="Arial"/>
            <w:color w:val="000080"/>
            <w:sz w:val="24"/>
            <w:szCs w:val="24"/>
            <w:u w:val="single"/>
          </w:rPr>
          <w:t>NR 04</w:t>
        </w:r>
      </w:hyperlink>
      <w:r>
        <w:rPr>
          <w:rFonts w:eastAsia="Arial" w:cs="Arial" w:ascii="Arial" w:hAnsi="Arial"/>
          <w:sz w:val="24"/>
          <w:szCs w:val="24"/>
        </w:rPr>
        <w:t> - Serviços Especializados em Eng. de Segurança e em Medicina do Trabalho;</w:t>
      </w:r>
    </w:p>
    <w:p>
      <w:pPr>
        <w:pStyle w:val="normal1"/>
        <w:widowControl/>
        <w:spacing w:lineRule="auto" w:line="360"/>
        <w:rPr>
          <w:rFonts w:ascii="Arial" w:hAnsi="Arial" w:eastAsia="Arial" w:cs="Arial"/>
          <w:sz w:val="24"/>
          <w:szCs w:val="24"/>
        </w:rPr>
      </w:pPr>
      <w:hyperlink r:id="rId25">
        <w:r>
          <w:rPr>
            <w:rStyle w:val="Style3"/>
            <w:rFonts w:eastAsia="Arial" w:cs="Arial" w:ascii="Arial" w:hAnsi="Arial"/>
            <w:color w:val="000080"/>
            <w:sz w:val="24"/>
            <w:szCs w:val="24"/>
            <w:u w:val="single"/>
          </w:rPr>
          <w:t>NR 05</w:t>
        </w:r>
      </w:hyperlink>
      <w:r>
        <w:rPr>
          <w:rFonts w:eastAsia="Arial" w:cs="Arial" w:ascii="Arial" w:hAnsi="Arial"/>
          <w:sz w:val="24"/>
          <w:szCs w:val="24"/>
        </w:rPr>
        <w:t> - </w:t>
      </w:r>
      <w:hyperlink r:id="rId26">
        <w:r>
          <w:rPr>
            <w:rStyle w:val="Style3"/>
            <w:rFonts w:eastAsia="Arial" w:cs="Arial" w:ascii="Arial" w:hAnsi="Arial"/>
            <w:color w:val="000080"/>
            <w:sz w:val="24"/>
            <w:szCs w:val="24"/>
            <w:u w:val="single"/>
          </w:rPr>
          <w:t>Comissão Interna de Prevenção de Acidentes</w:t>
        </w:r>
      </w:hyperlink>
      <w:r>
        <w:rPr>
          <w:rFonts w:eastAsia="Arial" w:cs="Arial" w:ascii="Arial" w:hAnsi="Arial"/>
          <w:sz w:val="24"/>
          <w:szCs w:val="24"/>
        </w:rPr>
        <w:t>;</w:t>
      </w:r>
    </w:p>
    <w:p>
      <w:pPr>
        <w:pStyle w:val="normal1"/>
        <w:widowControl/>
        <w:spacing w:lineRule="auto" w:line="360"/>
        <w:rPr>
          <w:rFonts w:ascii="Arial" w:hAnsi="Arial" w:eastAsia="Arial" w:cs="Arial"/>
          <w:sz w:val="24"/>
          <w:szCs w:val="24"/>
        </w:rPr>
      </w:pPr>
      <w:hyperlink r:id="rId27">
        <w:r>
          <w:rPr>
            <w:rStyle w:val="Style3"/>
            <w:rFonts w:eastAsia="Arial" w:cs="Arial" w:ascii="Arial" w:hAnsi="Arial"/>
            <w:color w:val="000080"/>
            <w:sz w:val="24"/>
            <w:szCs w:val="24"/>
            <w:u w:val="single"/>
          </w:rPr>
          <w:t>NR 06</w:t>
        </w:r>
      </w:hyperlink>
      <w:r>
        <w:rPr>
          <w:rFonts w:eastAsia="Arial" w:cs="Arial" w:ascii="Arial" w:hAnsi="Arial"/>
          <w:sz w:val="24"/>
          <w:szCs w:val="24"/>
        </w:rPr>
        <w:t> - Equipamentos de Proteção Individual – EPI;</w:t>
      </w:r>
    </w:p>
    <w:p>
      <w:pPr>
        <w:pStyle w:val="normal1"/>
        <w:widowControl/>
        <w:spacing w:lineRule="auto" w:line="360"/>
        <w:rPr>
          <w:rFonts w:ascii="Arial" w:hAnsi="Arial" w:eastAsia="Arial" w:cs="Arial"/>
          <w:sz w:val="24"/>
          <w:szCs w:val="24"/>
        </w:rPr>
      </w:pPr>
      <w:hyperlink r:id="rId28">
        <w:r>
          <w:rPr>
            <w:rStyle w:val="Style3"/>
            <w:rFonts w:eastAsia="Arial" w:cs="Arial" w:ascii="Arial" w:hAnsi="Arial"/>
            <w:color w:val="000080"/>
            <w:sz w:val="24"/>
            <w:szCs w:val="24"/>
            <w:u w:val="single"/>
          </w:rPr>
          <w:t>NR 07</w:t>
        </w:r>
      </w:hyperlink>
      <w:r>
        <w:rPr>
          <w:rFonts w:eastAsia="Arial" w:cs="Arial" w:ascii="Arial" w:hAnsi="Arial"/>
          <w:sz w:val="24"/>
          <w:szCs w:val="24"/>
        </w:rPr>
        <w:t> - Programas de Controle Médico de Saúde Ocupacional;</w:t>
      </w:r>
    </w:p>
    <w:p>
      <w:pPr>
        <w:pStyle w:val="normal1"/>
        <w:widowControl/>
        <w:spacing w:lineRule="auto" w:line="360"/>
        <w:rPr>
          <w:rFonts w:ascii="Arial" w:hAnsi="Arial" w:eastAsia="Arial" w:cs="Arial"/>
          <w:sz w:val="24"/>
          <w:szCs w:val="24"/>
        </w:rPr>
      </w:pPr>
      <w:hyperlink r:id="rId29">
        <w:r>
          <w:rPr>
            <w:rStyle w:val="Style3"/>
            <w:rFonts w:eastAsia="Arial" w:cs="Arial" w:ascii="Arial" w:hAnsi="Arial"/>
            <w:color w:val="000080"/>
            <w:sz w:val="24"/>
            <w:szCs w:val="24"/>
            <w:u w:val="single"/>
          </w:rPr>
          <w:t>NR 09</w:t>
        </w:r>
      </w:hyperlink>
      <w:r>
        <w:rPr>
          <w:rFonts w:eastAsia="Arial" w:cs="Arial" w:ascii="Arial" w:hAnsi="Arial"/>
          <w:sz w:val="24"/>
          <w:szCs w:val="24"/>
        </w:rPr>
        <w:t> - Programas de Prevenção de Riscos Ambientais;</w:t>
      </w:r>
    </w:p>
    <w:p>
      <w:pPr>
        <w:pStyle w:val="normal1"/>
        <w:widowControl/>
        <w:spacing w:lineRule="auto" w:line="360"/>
        <w:rPr>
          <w:rFonts w:ascii="Arial" w:hAnsi="Arial" w:eastAsia="Arial" w:cs="Arial"/>
          <w:sz w:val="24"/>
          <w:szCs w:val="24"/>
        </w:rPr>
      </w:pPr>
      <w:hyperlink r:id="rId30">
        <w:r>
          <w:rPr>
            <w:rStyle w:val="Style3"/>
            <w:rFonts w:eastAsia="Arial" w:cs="Arial" w:ascii="Arial" w:hAnsi="Arial"/>
            <w:color w:val="000080"/>
            <w:sz w:val="24"/>
            <w:szCs w:val="24"/>
            <w:u w:val="single"/>
          </w:rPr>
          <w:t>NR 10</w:t>
        </w:r>
      </w:hyperlink>
      <w:r>
        <w:rPr>
          <w:rFonts w:eastAsia="Arial" w:cs="Arial" w:ascii="Arial" w:hAnsi="Arial"/>
          <w:sz w:val="24"/>
          <w:szCs w:val="24"/>
        </w:rPr>
        <w:t> - Segurança em Instalações e Serviços em Eletricidade;</w:t>
      </w:r>
    </w:p>
    <w:p>
      <w:pPr>
        <w:pStyle w:val="normal1"/>
        <w:widowControl/>
        <w:spacing w:lineRule="auto" w:line="360"/>
        <w:rPr>
          <w:rFonts w:ascii="Arial" w:hAnsi="Arial" w:eastAsia="Arial" w:cs="Arial"/>
          <w:sz w:val="24"/>
          <w:szCs w:val="24"/>
        </w:rPr>
      </w:pPr>
      <w:hyperlink r:id="rId31">
        <w:r>
          <w:rPr>
            <w:rStyle w:val="Style3"/>
            <w:rFonts w:eastAsia="Arial" w:cs="Arial" w:ascii="Arial" w:hAnsi="Arial"/>
            <w:color w:val="000080"/>
            <w:sz w:val="24"/>
            <w:szCs w:val="24"/>
            <w:u w:val="single"/>
          </w:rPr>
          <w:t>NR 11</w:t>
        </w:r>
      </w:hyperlink>
      <w:r>
        <w:rPr>
          <w:rFonts w:eastAsia="Arial" w:cs="Arial" w:ascii="Arial" w:hAnsi="Arial"/>
          <w:sz w:val="24"/>
          <w:szCs w:val="24"/>
        </w:rPr>
        <w:t> - Transporte, Movimentação, Armazenagem e Manuseio de Materiais;</w:t>
      </w:r>
    </w:p>
    <w:p>
      <w:pPr>
        <w:pStyle w:val="normal1"/>
        <w:widowControl/>
        <w:spacing w:lineRule="auto" w:line="360"/>
        <w:rPr>
          <w:rFonts w:ascii="Arial" w:hAnsi="Arial" w:eastAsia="Arial" w:cs="Arial"/>
          <w:sz w:val="24"/>
          <w:szCs w:val="24"/>
        </w:rPr>
      </w:pPr>
      <w:hyperlink r:id="rId32">
        <w:r>
          <w:rPr>
            <w:rStyle w:val="Style3"/>
            <w:rFonts w:eastAsia="Arial" w:cs="Arial" w:ascii="Arial" w:hAnsi="Arial"/>
            <w:color w:val="1F3864"/>
            <w:sz w:val="24"/>
            <w:szCs w:val="24"/>
            <w:u w:val="single"/>
          </w:rPr>
          <w:t>NR 12</w:t>
        </w:r>
      </w:hyperlink>
      <w:r>
        <w:rPr>
          <w:rFonts w:eastAsia="Arial" w:cs="Arial" w:ascii="Arial" w:hAnsi="Arial"/>
          <w:sz w:val="24"/>
          <w:szCs w:val="24"/>
        </w:rPr>
        <w:t> - Máquinas e Equipamentos;</w:t>
      </w:r>
    </w:p>
    <w:p>
      <w:pPr>
        <w:pStyle w:val="normal1"/>
        <w:widowControl/>
        <w:spacing w:lineRule="auto" w:line="360"/>
        <w:rPr>
          <w:rFonts w:ascii="Arial" w:hAnsi="Arial" w:eastAsia="Arial" w:cs="Arial"/>
          <w:sz w:val="24"/>
          <w:szCs w:val="24"/>
        </w:rPr>
      </w:pPr>
      <w:hyperlink r:id="rId33">
        <w:r>
          <w:rPr>
            <w:rStyle w:val="Style3"/>
            <w:rFonts w:eastAsia="Arial" w:cs="Arial" w:ascii="Arial" w:hAnsi="Arial"/>
            <w:color w:val="000080"/>
            <w:sz w:val="24"/>
            <w:szCs w:val="24"/>
            <w:u w:val="single"/>
          </w:rPr>
          <w:t>NR 15 </w:t>
        </w:r>
      </w:hyperlink>
      <w:r>
        <w:rPr>
          <w:rFonts w:eastAsia="Arial" w:cs="Arial" w:ascii="Arial" w:hAnsi="Arial"/>
          <w:sz w:val="24"/>
          <w:szCs w:val="24"/>
        </w:rPr>
        <w:t>- Atividades e Operações Insalubres;</w:t>
      </w:r>
    </w:p>
    <w:p>
      <w:pPr>
        <w:pStyle w:val="normal1"/>
        <w:widowControl/>
        <w:spacing w:lineRule="auto" w:line="360"/>
        <w:rPr>
          <w:rFonts w:ascii="Arial" w:hAnsi="Arial" w:eastAsia="Arial" w:cs="Arial"/>
          <w:sz w:val="24"/>
          <w:szCs w:val="24"/>
        </w:rPr>
      </w:pPr>
      <w:hyperlink r:id="rId34">
        <w:r>
          <w:rPr>
            <w:rStyle w:val="Style3"/>
            <w:rFonts w:eastAsia="Arial" w:cs="Arial" w:ascii="Arial" w:hAnsi="Arial"/>
            <w:color w:val="000080"/>
            <w:sz w:val="24"/>
            <w:szCs w:val="24"/>
            <w:u w:val="single"/>
          </w:rPr>
          <w:t>NR 16</w:t>
        </w:r>
      </w:hyperlink>
      <w:r>
        <w:rPr>
          <w:rFonts w:eastAsia="Arial" w:cs="Arial" w:ascii="Arial" w:hAnsi="Arial"/>
          <w:sz w:val="24"/>
          <w:szCs w:val="24"/>
        </w:rPr>
        <w:t> - Atividades e Operações Perigosas;</w:t>
      </w:r>
    </w:p>
    <w:p>
      <w:pPr>
        <w:pStyle w:val="normal1"/>
        <w:widowControl/>
        <w:spacing w:lineRule="auto" w:line="360"/>
        <w:rPr>
          <w:rFonts w:ascii="Arial" w:hAnsi="Arial" w:eastAsia="Arial" w:cs="Arial"/>
          <w:sz w:val="24"/>
          <w:szCs w:val="24"/>
        </w:rPr>
      </w:pPr>
      <w:hyperlink r:id="rId35">
        <w:r>
          <w:rPr>
            <w:rStyle w:val="Style3"/>
            <w:rFonts w:eastAsia="Arial" w:cs="Arial" w:ascii="Arial" w:hAnsi="Arial"/>
            <w:color w:val="000080"/>
            <w:sz w:val="24"/>
            <w:szCs w:val="24"/>
            <w:u w:val="single"/>
          </w:rPr>
          <w:t>NR 17</w:t>
        </w:r>
      </w:hyperlink>
      <w:r>
        <w:rPr>
          <w:rFonts w:eastAsia="Arial" w:cs="Arial" w:ascii="Arial" w:hAnsi="Arial"/>
          <w:sz w:val="24"/>
          <w:szCs w:val="24"/>
        </w:rPr>
        <w:t> - Ergonomia;</w:t>
      </w:r>
    </w:p>
    <w:p>
      <w:pPr>
        <w:pStyle w:val="normal1"/>
        <w:widowControl/>
        <w:spacing w:lineRule="auto" w:line="360"/>
        <w:rPr>
          <w:rFonts w:ascii="Arial" w:hAnsi="Arial" w:eastAsia="Arial" w:cs="Arial"/>
          <w:sz w:val="24"/>
          <w:szCs w:val="24"/>
        </w:rPr>
      </w:pPr>
      <w:hyperlink r:id="rId36">
        <w:r>
          <w:rPr>
            <w:rStyle w:val="Style3"/>
            <w:rFonts w:eastAsia="Arial" w:cs="Arial" w:ascii="Arial" w:hAnsi="Arial"/>
            <w:color w:val="000080"/>
            <w:sz w:val="24"/>
            <w:szCs w:val="24"/>
            <w:u w:val="single"/>
          </w:rPr>
          <w:t>NR 18</w:t>
        </w:r>
      </w:hyperlink>
      <w:r>
        <w:rPr>
          <w:rFonts w:eastAsia="Arial" w:cs="Arial" w:ascii="Arial" w:hAnsi="Arial"/>
          <w:sz w:val="24"/>
          <w:szCs w:val="24"/>
        </w:rPr>
        <w:t> - Condições e Meio Ambiente de Trabalho na Indústria da Construção;</w:t>
      </w:r>
    </w:p>
    <w:p>
      <w:pPr>
        <w:pStyle w:val="normal1"/>
        <w:widowControl/>
        <w:spacing w:lineRule="auto" w:line="360"/>
        <w:rPr>
          <w:rFonts w:ascii="Arial" w:hAnsi="Arial" w:eastAsia="Arial" w:cs="Arial"/>
          <w:sz w:val="24"/>
          <w:szCs w:val="24"/>
        </w:rPr>
      </w:pPr>
      <w:hyperlink r:id="rId37">
        <w:r>
          <w:rPr>
            <w:rStyle w:val="Style3"/>
            <w:rFonts w:eastAsia="Arial" w:cs="Arial" w:ascii="Arial" w:hAnsi="Arial"/>
            <w:color w:val="000080"/>
            <w:sz w:val="24"/>
            <w:szCs w:val="24"/>
            <w:u w:val="single"/>
          </w:rPr>
          <w:t>NR 20</w:t>
        </w:r>
      </w:hyperlink>
      <w:r>
        <w:rPr>
          <w:rFonts w:eastAsia="Arial" w:cs="Arial" w:ascii="Arial" w:hAnsi="Arial"/>
          <w:sz w:val="24"/>
          <w:szCs w:val="24"/>
        </w:rPr>
        <w:t> - Segurança e Saúde no Trabalho com Inflamáveis e Combustíveis;</w:t>
      </w:r>
    </w:p>
    <w:p>
      <w:pPr>
        <w:pStyle w:val="normal1"/>
        <w:widowControl/>
        <w:spacing w:lineRule="auto" w:line="360"/>
        <w:rPr>
          <w:rFonts w:ascii="Arial" w:hAnsi="Arial" w:eastAsia="Arial" w:cs="Arial"/>
          <w:sz w:val="24"/>
          <w:szCs w:val="24"/>
        </w:rPr>
      </w:pPr>
      <w:hyperlink r:id="rId38">
        <w:r>
          <w:rPr>
            <w:rStyle w:val="Style3"/>
            <w:rFonts w:eastAsia="Arial" w:cs="Arial" w:ascii="Arial" w:hAnsi="Arial"/>
            <w:color w:val="000080"/>
            <w:sz w:val="24"/>
            <w:szCs w:val="24"/>
            <w:u w:val="single"/>
          </w:rPr>
          <w:t>NR 21</w:t>
        </w:r>
      </w:hyperlink>
      <w:r>
        <w:rPr>
          <w:rFonts w:eastAsia="Arial" w:cs="Arial" w:ascii="Arial" w:hAnsi="Arial"/>
          <w:sz w:val="24"/>
          <w:szCs w:val="24"/>
        </w:rPr>
        <w:t> - Trabalhos a Céu Aberto;</w:t>
      </w:r>
    </w:p>
    <w:p>
      <w:pPr>
        <w:pStyle w:val="normal1"/>
        <w:widowControl/>
        <w:spacing w:lineRule="auto" w:line="360"/>
        <w:rPr>
          <w:rFonts w:ascii="Arial" w:hAnsi="Arial" w:eastAsia="Arial" w:cs="Arial"/>
          <w:sz w:val="24"/>
          <w:szCs w:val="24"/>
        </w:rPr>
      </w:pPr>
      <w:hyperlink r:id="rId39">
        <w:r>
          <w:rPr>
            <w:rStyle w:val="Style3"/>
            <w:rFonts w:eastAsia="Arial" w:cs="Arial" w:ascii="Arial" w:hAnsi="Arial"/>
            <w:color w:val="000080"/>
            <w:sz w:val="24"/>
            <w:szCs w:val="24"/>
            <w:u w:val="single"/>
          </w:rPr>
          <w:t>NR 23</w:t>
        </w:r>
      </w:hyperlink>
      <w:r>
        <w:rPr>
          <w:rFonts w:eastAsia="Arial" w:cs="Arial" w:ascii="Arial" w:hAnsi="Arial"/>
          <w:sz w:val="24"/>
          <w:szCs w:val="24"/>
        </w:rPr>
        <w:t> - Proteção Contra Incêndios;</w:t>
      </w:r>
    </w:p>
    <w:p>
      <w:pPr>
        <w:pStyle w:val="normal1"/>
        <w:widowControl/>
        <w:spacing w:lineRule="auto" w:line="360"/>
        <w:rPr>
          <w:rFonts w:ascii="Arial" w:hAnsi="Arial" w:eastAsia="Arial" w:cs="Arial"/>
          <w:sz w:val="24"/>
          <w:szCs w:val="24"/>
        </w:rPr>
      </w:pPr>
      <w:hyperlink r:id="rId40">
        <w:r>
          <w:rPr>
            <w:rStyle w:val="Style3"/>
            <w:rFonts w:eastAsia="Arial" w:cs="Arial" w:ascii="Arial" w:hAnsi="Arial"/>
            <w:color w:val="000080"/>
            <w:sz w:val="24"/>
            <w:szCs w:val="24"/>
            <w:u w:val="single"/>
          </w:rPr>
          <w:t>NR 24 </w:t>
        </w:r>
      </w:hyperlink>
      <w:r>
        <w:rPr>
          <w:rFonts w:eastAsia="Arial" w:cs="Arial" w:ascii="Arial" w:hAnsi="Arial"/>
          <w:sz w:val="24"/>
          <w:szCs w:val="24"/>
        </w:rPr>
        <w:t>- Condições Sanitárias e de Conforto nos Locais de Trabalho;</w:t>
      </w:r>
    </w:p>
    <w:p>
      <w:pPr>
        <w:pStyle w:val="normal1"/>
        <w:widowControl/>
        <w:spacing w:lineRule="auto" w:line="360"/>
        <w:rPr>
          <w:rFonts w:ascii="Arial" w:hAnsi="Arial" w:eastAsia="Arial" w:cs="Arial"/>
          <w:sz w:val="24"/>
          <w:szCs w:val="24"/>
        </w:rPr>
      </w:pPr>
      <w:hyperlink r:id="rId41">
        <w:r>
          <w:rPr>
            <w:rStyle w:val="Style3"/>
            <w:rFonts w:eastAsia="Arial" w:cs="Arial" w:ascii="Arial" w:hAnsi="Arial"/>
            <w:color w:val="000080"/>
            <w:sz w:val="24"/>
            <w:szCs w:val="24"/>
            <w:u w:val="single"/>
          </w:rPr>
          <w:t>NR 25</w:t>
        </w:r>
      </w:hyperlink>
      <w:r>
        <w:rPr>
          <w:rFonts w:eastAsia="Arial" w:cs="Arial" w:ascii="Arial" w:hAnsi="Arial"/>
          <w:sz w:val="24"/>
          <w:szCs w:val="24"/>
        </w:rPr>
        <w:t> - Resíduos Industriais;</w:t>
      </w:r>
    </w:p>
    <w:p>
      <w:pPr>
        <w:pStyle w:val="normal1"/>
        <w:widowControl/>
        <w:spacing w:lineRule="auto" w:line="360"/>
        <w:rPr>
          <w:rFonts w:ascii="Arial" w:hAnsi="Arial" w:eastAsia="Arial" w:cs="Arial"/>
          <w:sz w:val="24"/>
          <w:szCs w:val="24"/>
        </w:rPr>
      </w:pPr>
      <w:hyperlink r:id="rId42">
        <w:r>
          <w:rPr>
            <w:rStyle w:val="Style3"/>
            <w:rFonts w:eastAsia="Arial" w:cs="Arial" w:ascii="Arial" w:hAnsi="Arial"/>
            <w:color w:val="000080"/>
            <w:sz w:val="24"/>
            <w:szCs w:val="24"/>
            <w:u w:val="single"/>
          </w:rPr>
          <w:t>NR 26 </w:t>
        </w:r>
      </w:hyperlink>
      <w:r>
        <w:rPr>
          <w:rFonts w:eastAsia="Arial" w:cs="Arial" w:ascii="Arial" w:hAnsi="Arial"/>
          <w:sz w:val="24"/>
          <w:szCs w:val="24"/>
        </w:rPr>
        <w:t>- Sinalização de Segurança;</w:t>
      </w:r>
    </w:p>
    <w:p>
      <w:pPr>
        <w:pStyle w:val="normal1"/>
        <w:widowControl/>
        <w:spacing w:lineRule="auto" w:line="360"/>
        <w:rPr>
          <w:rFonts w:ascii="Arial" w:hAnsi="Arial" w:eastAsia="Arial" w:cs="Arial"/>
          <w:sz w:val="24"/>
          <w:szCs w:val="24"/>
        </w:rPr>
      </w:pPr>
      <w:hyperlink r:id="rId43">
        <w:r>
          <w:rPr>
            <w:rStyle w:val="Style3"/>
            <w:rFonts w:eastAsia="Arial" w:cs="Arial" w:ascii="Arial" w:hAnsi="Arial"/>
            <w:color w:val="000080"/>
            <w:sz w:val="24"/>
            <w:szCs w:val="24"/>
            <w:u w:val="single"/>
          </w:rPr>
          <w:t>NR 28</w:t>
        </w:r>
      </w:hyperlink>
      <w:r>
        <w:rPr>
          <w:rFonts w:eastAsia="Arial" w:cs="Arial" w:ascii="Arial" w:hAnsi="Arial"/>
          <w:sz w:val="24"/>
          <w:szCs w:val="24"/>
        </w:rPr>
        <w:t> - Fiscalização e Penalidades;</w:t>
      </w:r>
    </w:p>
    <w:p>
      <w:pPr>
        <w:pStyle w:val="normal1"/>
        <w:widowControl/>
        <w:spacing w:lineRule="auto" w:line="360"/>
        <w:rPr>
          <w:rFonts w:ascii="Arial" w:hAnsi="Arial" w:eastAsia="Arial" w:cs="Arial"/>
          <w:sz w:val="24"/>
          <w:szCs w:val="24"/>
        </w:rPr>
      </w:pPr>
      <w:hyperlink r:id="rId44">
        <w:r>
          <w:rPr>
            <w:rStyle w:val="Style3"/>
            <w:rFonts w:eastAsia="Arial" w:cs="Arial" w:ascii="Arial" w:hAnsi="Arial"/>
            <w:color w:val="000080"/>
            <w:sz w:val="24"/>
            <w:szCs w:val="24"/>
            <w:u w:val="single"/>
          </w:rPr>
          <w:t>NR 33</w:t>
        </w:r>
      </w:hyperlink>
      <w:r>
        <w:rPr>
          <w:rFonts w:eastAsia="Arial" w:cs="Arial" w:ascii="Arial" w:hAnsi="Arial"/>
          <w:sz w:val="24"/>
          <w:szCs w:val="24"/>
        </w:rPr>
        <w:t> - Segurança e Saúde no Trabalho em Espaços Confinados;</w:t>
      </w:r>
    </w:p>
    <w:p>
      <w:pPr>
        <w:pStyle w:val="normal1"/>
        <w:widowControl/>
        <w:spacing w:lineRule="auto" w:line="360"/>
        <w:rPr>
          <w:rFonts w:ascii="Arial" w:hAnsi="Arial" w:eastAsia="Arial" w:cs="Arial"/>
          <w:sz w:val="24"/>
          <w:szCs w:val="24"/>
        </w:rPr>
      </w:pPr>
      <w:hyperlink r:id="rId45">
        <w:r>
          <w:rPr>
            <w:rStyle w:val="Style3"/>
            <w:rFonts w:eastAsia="Arial" w:cs="Arial" w:ascii="Arial" w:hAnsi="Arial"/>
            <w:color w:val="000080"/>
            <w:sz w:val="24"/>
            <w:szCs w:val="24"/>
            <w:u w:val="single"/>
          </w:rPr>
          <w:t>NR 35</w:t>
        </w:r>
      </w:hyperlink>
      <w:r>
        <w:rPr>
          <w:rFonts w:eastAsia="Arial" w:cs="Arial" w:ascii="Arial" w:hAnsi="Arial"/>
          <w:sz w:val="24"/>
          <w:szCs w:val="24"/>
        </w:rPr>
        <w:t> - Trabalho em Altura;</w:t>
      </w:r>
    </w:p>
    <w:p>
      <w:pPr>
        <w:pStyle w:val="normal1"/>
        <w:widowControl/>
        <w:spacing w:lineRule="auto" w:line="360"/>
        <w:rPr>
          <w:rFonts w:ascii="Arial" w:hAnsi="Arial" w:eastAsia="Arial" w:cs="Arial"/>
          <w:sz w:val="24"/>
          <w:szCs w:val="24"/>
        </w:rPr>
      </w:pPr>
      <w:r>
        <w:rPr>
          <w:rFonts w:eastAsia="Arial" w:cs="Arial" w:ascii="Arial" w:hAnsi="Arial"/>
          <w:color w:val="1F3864"/>
          <w:sz w:val="24"/>
          <w:szCs w:val="24"/>
        </w:rPr>
        <w:t>NBR 9781</w:t>
      </w:r>
      <w:r>
        <w:rPr>
          <w:rFonts w:eastAsia="Arial" w:cs="Arial" w:ascii="Arial" w:hAnsi="Arial"/>
          <w:sz w:val="24"/>
          <w:szCs w:val="24"/>
        </w:rPr>
        <w:t xml:space="preserve"> – Peças de Concreto Pré Moldados.</w:t>
      </w:r>
    </w:p>
    <w:p>
      <w:pPr>
        <w:pStyle w:val="normal1"/>
        <w:widowControl/>
        <w:spacing w:lineRule="auto" w:line="360"/>
        <w:rPr>
          <w:rFonts w:ascii="Arial" w:hAnsi="Arial" w:eastAsia="Arial" w:cs="Arial"/>
          <w:sz w:val="24"/>
          <w:szCs w:val="24"/>
        </w:rPr>
      </w:pPr>
      <w:r>
        <w:rPr>
          <w:rFonts w:eastAsia="Arial" w:cs="Arial" w:ascii="Arial" w:hAnsi="Arial"/>
          <w:color w:val="1F3864"/>
          <w:sz w:val="24"/>
          <w:szCs w:val="24"/>
        </w:rPr>
        <w:t>NBR 9050</w:t>
      </w:r>
      <w:r>
        <w:rPr>
          <w:rFonts w:eastAsia="Arial" w:cs="Arial" w:ascii="Arial" w:hAnsi="Arial"/>
          <w:sz w:val="24"/>
          <w:szCs w:val="24"/>
        </w:rPr>
        <w:t xml:space="preserve"> – Normas de Acessibilidade;</w:t>
      </w:r>
    </w:p>
    <w:p>
      <w:pPr>
        <w:pStyle w:val="normal1"/>
        <w:widowControl/>
        <w:spacing w:lineRule="auto" w:line="360"/>
        <w:rPr>
          <w:rFonts w:ascii="Arial" w:hAnsi="Arial" w:eastAsia="Arial" w:cs="Arial"/>
          <w:sz w:val="24"/>
          <w:szCs w:val="24"/>
        </w:rPr>
      </w:pPr>
      <w:r>
        <w:rPr>
          <w:rFonts w:eastAsia="Arial" w:cs="Arial" w:ascii="Arial" w:hAnsi="Arial"/>
          <w:sz w:val="24"/>
          <w:szCs w:val="24"/>
        </w:rPr>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t>A observância das Normas Regulamentadoras - NR não desobriga a empresa do cumprimento de outras disposições que, com relação à matéria, sejam incluídas em códigos de obras ou regulamentos sanitários do estado ou do município, e outras, oriundas de convenções e acordos coletivos de trabalho.</w:t>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t>Capacitação da mão de obra deverá oferecer as pessoas uma qualificação, proporcionando condições de aproveitamento nas ofertas de trabalho geradas pelo empreendimento.</w:t>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t>Esta ação dentro do programa será voltado exclusivamente a mão de obra não qualificada, onde através de treinamento, se dará condições de aproveitamento nas ofertas de trabalho geradas pela implantação do projeto, sendo prioritária a capacitação da mão de obra local. Neste sentido, a capacitação apresentará reflexo tanto na formação dos trabalhadores, quanto na desmobilização da mão de obra, uma vez que servirá de ponte para uma futura colocação no mercado de trabalho.</w:t>
      </w:r>
    </w:p>
    <w:p>
      <w:pPr>
        <w:pStyle w:val="normal1"/>
        <w:widowControl/>
        <w:spacing w:lineRule="auto" w:line="360"/>
        <w:ind w:firstLine="851"/>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LICENÇAS E FRANQUIAS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A </w:t>
      </w:r>
      <w:r>
        <w:rPr>
          <w:rFonts w:eastAsia="Arial" w:cs="Arial" w:ascii="Arial" w:hAnsi="Arial"/>
          <w:b/>
          <w:bCs/>
          <w:sz w:val="24"/>
          <w:szCs w:val="24"/>
        </w:rPr>
        <w:t>CONTRATADA</w:t>
      </w:r>
      <w:r>
        <w:rPr>
          <w:rFonts w:eastAsia="Arial" w:cs="Arial" w:ascii="Arial" w:hAnsi="Arial"/>
          <w:sz w:val="24"/>
          <w:szCs w:val="24"/>
        </w:rPr>
        <w:t xml:space="preserve"> é responsável pelo pagamento de todos os valores incidentes a título de leis trabalhistas e previdenciárias. Deverá responsabilizar-se pela pontualidade dos pagamentos referentes ao consumo de água, comunicações, e de energia elétrica das obras e serviços ora contratados.</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A observância das leis e regulamentos citados anteriormente abrange também as determinações dos respectivos Conselhos Profissionais, CREA/SC, CAU/SC e CRT/SC especialmente no que diz respeito às ART's. RRT’s e TRT’s (Anotações/Registros/Termos de Responsabilidade Técnica) dos responsáveis pela execução da referida obra.</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QUALIFICAÇÃO TÉCNICA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A qualificação técnica da empresa será avaliada com base nos seguintes documentos e informações,</w:t>
      </w:r>
    </w:p>
    <w:p>
      <w:pPr>
        <w:pStyle w:val="normal1"/>
        <w:widowControl/>
        <w:numPr>
          <w:ilvl w:val="0"/>
          <w:numId w:val="8"/>
        </w:numPr>
        <w:tabs>
          <w:tab w:val="clear" w:pos="720"/>
          <w:tab w:val="left" w:pos="709" w:leader="none"/>
        </w:tabs>
        <w:spacing w:lineRule="auto" w:line="360" w:before="0" w:after="160"/>
        <w:ind w:hanging="360" w:start="720"/>
        <w:jc w:val="both"/>
        <w:rPr>
          <w:rFonts w:ascii="Arial" w:hAnsi="Arial" w:eastAsia="Arial" w:cs="Arial"/>
          <w:sz w:val="24"/>
          <w:szCs w:val="24"/>
        </w:rPr>
      </w:pPr>
      <w:r>
        <w:rPr>
          <w:rFonts w:eastAsia="Arial" w:cs="Arial" w:ascii="Arial" w:hAnsi="Arial"/>
          <w:sz w:val="24"/>
          <w:szCs w:val="24"/>
        </w:rPr>
        <w:t>Certificado de Registro e regularidade da empresa (Certidão Pessoa Jurídica) junto ao Conselho Regional de Engenharia e Agronomia (CREA) ou Conselho de Arquitetura (CAU).</w:t>
      </w:r>
    </w:p>
    <w:p>
      <w:pPr>
        <w:pStyle w:val="normal1"/>
        <w:widowControl/>
        <w:numPr>
          <w:ilvl w:val="0"/>
          <w:numId w:val="8"/>
        </w:numPr>
        <w:tabs>
          <w:tab w:val="clear" w:pos="720"/>
          <w:tab w:val="left" w:pos="709" w:leader="none"/>
        </w:tabs>
        <w:spacing w:lineRule="auto" w:line="360" w:before="0" w:after="160"/>
        <w:ind w:hanging="360" w:start="720"/>
        <w:jc w:val="both"/>
        <w:rPr>
          <w:rFonts w:ascii="Arial" w:hAnsi="Arial" w:eastAsia="Arial" w:cs="Arial"/>
          <w:sz w:val="24"/>
          <w:szCs w:val="24"/>
        </w:rPr>
      </w:pPr>
      <w:r>
        <w:rPr>
          <w:rFonts w:eastAsia="Arial" w:cs="Arial" w:ascii="Arial" w:hAnsi="Arial"/>
          <w:sz w:val="24"/>
          <w:szCs w:val="24"/>
        </w:rPr>
        <w:t>Certificado de regularidade do (s) Responsável(eis) técnico(s) (Certidão Pessoa física) junto ao Conselho Regional de Engenharia e Agronomia (CREA) ou Conselho de Arquitetura (CAU).</w:t>
      </w:r>
    </w:p>
    <w:p>
      <w:pPr>
        <w:pStyle w:val="normal1"/>
        <w:widowControl/>
        <w:numPr>
          <w:ilvl w:val="0"/>
          <w:numId w:val="8"/>
        </w:numPr>
        <w:tabs>
          <w:tab w:val="clear" w:pos="720"/>
          <w:tab w:val="left" w:pos="709" w:leader="none"/>
        </w:tabs>
        <w:spacing w:lineRule="auto" w:line="360" w:before="0" w:after="160"/>
        <w:ind w:hanging="360" w:start="720"/>
        <w:jc w:val="both"/>
        <w:rPr>
          <w:rFonts w:ascii="Arial" w:hAnsi="Arial" w:eastAsia="Arial" w:cs="Arial"/>
          <w:sz w:val="24"/>
          <w:szCs w:val="24"/>
        </w:rPr>
      </w:pPr>
      <w:r>
        <w:rPr>
          <w:rFonts w:eastAsia="Arial" w:cs="Arial" w:ascii="Arial" w:hAnsi="Arial"/>
          <w:sz w:val="24"/>
          <w:szCs w:val="24"/>
        </w:rPr>
        <w:t>A empresa deverá comprovar em seu quadro permanente, vinculação profissional através de carteira profissional de trabalho, Ficha de Registro de Empregado (FRE) ou contrato de prestação de serviços que demonstrem a identificação do profissional e, na hipótese do detentor do atestado ser o proprietário ou sócio da empresa, a comprovação se dará mediante a apresentação do contrato social em vigor. A empresa deverá possuir em seu quadro:</w:t>
      </w:r>
    </w:p>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ab/>
        <w:t>Um (01) engenheiro civil ou arquiteto registrados no CREA ou CAU.</w:t>
      </w:r>
    </w:p>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ab/>
        <w:t>Um (01) encarregado de obras.</w:t>
      </w:r>
    </w:p>
    <w:p>
      <w:pPr>
        <w:pStyle w:val="normal1"/>
        <w:widowControl/>
        <w:numPr>
          <w:ilvl w:val="0"/>
          <w:numId w:val="9"/>
        </w:numPr>
        <w:tabs>
          <w:tab w:val="clear" w:pos="720"/>
          <w:tab w:val="left" w:pos="709" w:leader="none"/>
        </w:tabs>
        <w:spacing w:lineRule="auto" w:line="360" w:before="0" w:after="160"/>
        <w:ind w:hanging="360" w:start="720"/>
        <w:jc w:val="both"/>
        <w:rPr>
          <w:rFonts w:ascii="Arial" w:hAnsi="Arial" w:eastAsia="Arial" w:cs="Arial"/>
          <w:sz w:val="24"/>
          <w:szCs w:val="24"/>
        </w:rPr>
      </w:pPr>
      <w:sdt>
        <w:sdtPr>
          <w:tag w:val="goog_rdk_2"/>
          <w:id w:val="1397547183"/>
        </w:sdtPr>
        <w:sdtContent>
          <w:r>
            <w:rPr>
              <w:rFonts w:eastAsia="Arial Unicode MS" w:cs="Arial Unicode MS" w:ascii="Arial Unicode MS" w:hAnsi="Arial Unicode MS"/>
              <w:sz w:val="24"/>
              <w:szCs w:val="24"/>
            </w:rPr>
          </w:r>
          <w:r>
            <w:rPr>
              <w:rFonts w:eastAsia="Arial Unicode MS" w:cs="Arial Unicode MS" w:ascii="Arial Unicode MS" w:hAnsi="Arial Unicode MS"/>
              <w:sz w:val="24"/>
              <w:szCs w:val="24"/>
            </w:rPr>
            <w:t>Atestado de capacidade técnico-operacional, devidamente registrado no CREA∕CAU da região onde os serviços foram executados, acompanhado da respectiva Certidão de Acervo Técnico – CAT, expedida por esses Conselhos, que comprove que a licitante tenha executado, para órgão ou entidade da administração pública direta ou indireta, federal, estadual, municipal ou do Distrito Federal, ou ainda para empresa privada, obras/serviços de características técnicas similares às do objeto da presente licitação, não se admitindo atestado de fiscalização da execução de obras/serviços, cujas parcelas de maior relevância técnica e de valores significativos são:</w:t>
          </w:r>
        </w:sdtContent>
      </w:sdt>
    </w:p>
    <w:tbl>
      <w:tblPr>
        <w:tblStyle w:val="Table5"/>
        <w:tblW w:w="7908" w:type="dxa"/>
        <w:jc w:val="start"/>
        <w:tblInd w:w="689" w:type="dxa"/>
        <w:tblLayout w:type="fixed"/>
        <w:tblCellMar>
          <w:top w:w="0" w:type="dxa"/>
          <w:start w:w="108" w:type="dxa"/>
          <w:bottom w:w="0" w:type="dxa"/>
          <w:end w:w="108" w:type="dxa"/>
        </w:tblCellMar>
        <w:tblLook w:val="0000"/>
      </w:tblPr>
      <w:tblGrid>
        <w:gridCol w:w="1081"/>
        <w:gridCol w:w="4131"/>
        <w:gridCol w:w="976"/>
        <w:gridCol w:w="1720"/>
      </w:tblGrid>
      <w:tr>
        <w:trPr>
          <w:trHeight w:val="300" w:hRule="atLeast"/>
        </w:trPr>
        <w:tc>
          <w:tcPr>
            <w:tcW w:w="1081"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b/>
                <w:bCs/>
                <w:sz w:val="24"/>
                <w:szCs w:val="24"/>
              </w:rPr>
              <w:t>ITEM</w:t>
            </w:r>
          </w:p>
        </w:tc>
        <w:tc>
          <w:tcPr>
            <w:tcW w:w="4131"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b/>
                <w:bCs/>
                <w:sz w:val="24"/>
                <w:szCs w:val="24"/>
              </w:rPr>
              <w:t>DESCRIÇÃO DOS SERVIÇOS</w:t>
            </w:r>
          </w:p>
        </w:tc>
        <w:tc>
          <w:tcPr>
            <w:tcW w:w="976" w:type="dxa"/>
            <w:tcBorders>
              <w:top w:val="single" w:sz="4" w:space="0" w:color="000000"/>
              <w:start w:val="single" w:sz="4" w:space="0" w:color="000000"/>
              <w:bottom w:val="single" w:sz="4" w:space="0" w:color="000000"/>
            </w:tcBorders>
            <w:vAlign w:val="center"/>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b/>
                <w:bCs/>
                <w:sz w:val="24"/>
                <w:szCs w:val="24"/>
              </w:rPr>
              <w:t>UNIDADE</w:t>
            </w:r>
          </w:p>
        </w:tc>
        <w:tc>
          <w:tcPr>
            <w:tcW w:w="1720" w:type="dxa"/>
            <w:tcBorders>
              <w:top w:val="single" w:sz="4" w:space="0" w:color="000000"/>
              <w:start w:val="single" w:sz="4" w:space="0" w:color="000000"/>
              <w:bottom w:val="single" w:sz="4" w:space="0" w:color="000000"/>
              <w:end w:val="single" w:sz="4" w:space="0" w:color="000000"/>
            </w:tcBorders>
            <w:vAlign w:val="center"/>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b/>
                <w:bCs/>
                <w:sz w:val="24"/>
                <w:szCs w:val="24"/>
              </w:rPr>
              <w:t>QTDE</w:t>
            </w:r>
          </w:p>
        </w:tc>
      </w:tr>
      <w:tr>
        <w:trPr>
          <w:trHeight w:val="300" w:hRule="atLeast"/>
        </w:trPr>
        <w:tc>
          <w:tcPr>
            <w:tcW w:w="1081" w:type="dxa"/>
            <w:tcBorders>
              <w:top w:val="single" w:sz="4" w:space="0" w:color="000000"/>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1</w:t>
            </w:r>
          </w:p>
        </w:tc>
        <w:tc>
          <w:tcPr>
            <w:tcW w:w="4131" w:type="dxa"/>
            <w:tcBorders>
              <w:top w:val="single" w:sz="4" w:space="0" w:color="000000"/>
              <w:start w:val="single" w:sz="4" w:space="0" w:color="000000"/>
              <w:bottom w:val="single" w:sz="4" w:space="0" w:color="000000"/>
            </w:tcBorders>
          </w:tcPr>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Execução de pavimento em piso intertravado com bloco sextavado – item 4.7 – orçamento.</w:t>
            </w:r>
          </w:p>
        </w:tc>
        <w:tc>
          <w:tcPr>
            <w:tcW w:w="976" w:type="dxa"/>
            <w:tcBorders>
              <w:top w:val="single" w:sz="4" w:space="0" w:color="000000"/>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M²</w:t>
            </w:r>
          </w:p>
        </w:tc>
        <w:tc>
          <w:tcPr>
            <w:tcW w:w="1720" w:type="dxa"/>
            <w:tcBorders>
              <w:top w:val="single" w:sz="4" w:space="0" w:color="000000"/>
              <w:start w:val="single" w:sz="4" w:space="0" w:color="000000"/>
              <w:bottom w:val="single" w:sz="4" w:space="0" w:color="000000"/>
              <w:end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8.960,00</w:t>
            </w:r>
          </w:p>
        </w:tc>
      </w:tr>
      <w:tr>
        <w:trPr>
          <w:trHeight w:val="358" w:hRule="atLeast"/>
        </w:trPr>
        <w:tc>
          <w:tcPr>
            <w:tcW w:w="1081" w:type="dxa"/>
            <w:tcBorders>
              <w:top w:val="single" w:sz="4" w:space="0" w:color="000000"/>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2</w:t>
            </w:r>
          </w:p>
        </w:tc>
        <w:tc>
          <w:tcPr>
            <w:tcW w:w="4131" w:type="dxa"/>
            <w:tcBorders>
              <w:top w:val="single" w:sz="4" w:space="0" w:color="000000"/>
              <w:start w:val="single" w:sz="4" w:space="0" w:color="000000"/>
              <w:bottom w:val="single" w:sz="4" w:space="0" w:color="000000"/>
            </w:tcBorders>
          </w:tcPr>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Execução de meio fio em concreto pré fabricado.</w:t>
            </w:r>
          </w:p>
        </w:tc>
        <w:tc>
          <w:tcPr>
            <w:tcW w:w="976" w:type="dxa"/>
            <w:tcBorders>
              <w:top w:val="single" w:sz="4" w:space="0" w:color="000000"/>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M</w:t>
            </w:r>
          </w:p>
        </w:tc>
        <w:tc>
          <w:tcPr>
            <w:tcW w:w="1720" w:type="dxa"/>
            <w:tcBorders>
              <w:top w:val="single" w:sz="4" w:space="0" w:color="000000"/>
              <w:start w:val="single" w:sz="4" w:space="0" w:color="000000"/>
              <w:bottom w:val="single" w:sz="4" w:space="0" w:color="000000"/>
              <w:end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5.200,00</w:t>
            </w:r>
          </w:p>
        </w:tc>
      </w:tr>
      <w:tr>
        <w:trPr>
          <w:trHeight w:val="358" w:hRule="atLeast"/>
        </w:trPr>
        <w:tc>
          <w:tcPr>
            <w:tcW w:w="1081" w:type="dxa"/>
            <w:tcBorders>
              <w:start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3</w:t>
            </w:r>
          </w:p>
        </w:tc>
        <w:tc>
          <w:tcPr>
            <w:tcW w:w="4131" w:type="dxa"/>
            <w:tcBorders>
              <w:start w:val="single" w:sz="4" w:space="0" w:color="000000"/>
            </w:tcBorders>
          </w:tcPr>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Execução e compactação de base com brita graduada.</w:t>
            </w:r>
          </w:p>
        </w:tc>
        <w:tc>
          <w:tcPr>
            <w:tcW w:w="976" w:type="dxa"/>
            <w:tcBorders>
              <w:start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M³</w:t>
            </w:r>
          </w:p>
        </w:tc>
        <w:tc>
          <w:tcPr>
            <w:tcW w:w="1720" w:type="dxa"/>
            <w:tcBorders>
              <w:start w:val="single" w:sz="4" w:space="0" w:color="000000"/>
              <w:end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1.344,00</w:t>
            </w:r>
          </w:p>
        </w:tc>
      </w:tr>
      <w:tr>
        <w:trPr>
          <w:trHeight w:val="358" w:hRule="atLeast"/>
        </w:trPr>
        <w:tc>
          <w:tcPr>
            <w:tcW w:w="1081" w:type="dxa"/>
            <w:tcBorders>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r>
          </w:p>
        </w:tc>
        <w:tc>
          <w:tcPr>
            <w:tcW w:w="4131" w:type="dxa"/>
            <w:tcBorders>
              <w:start w:val="single" w:sz="4" w:space="0" w:color="000000"/>
              <w:bottom w:val="single" w:sz="4" w:space="0" w:color="000000"/>
            </w:tcBorders>
          </w:tcPr>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r>
          </w:p>
        </w:tc>
        <w:tc>
          <w:tcPr>
            <w:tcW w:w="976" w:type="dxa"/>
            <w:tcBorders>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r>
          </w:p>
        </w:tc>
        <w:tc>
          <w:tcPr>
            <w:tcW w:w="1720" w:type="dxa"/>
            <w:tcBorders>
              <w:start w:val="single" w:sz="4" w:space="0" w:color="000000"/>
              <w:bottom w:val="single" w:sz="4" w:space="0" w:color="000000"/>
              <w:end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r>
          </w:p>
        </w:tc>
      </w:tr>
      <w:tr>
        <w:trPr>
          <w:trHeight w:val="358" w:hRule="atLeast"/>
        </w:trPr>
        <w:tc>
          <w:tcPr>
            <w:tcW w:w="1081" w:type="dxa"/>
            <w:tcBorders>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4</w:t>
            </w:r>
          </w:p>
        </w:tc>
        <w:tc>
          <w:tcPr>
            <w:tcW w:w="4131" w:type="dxa"/>
            <w:tcBorders>
              <w:start w:val="single" w:sz="4" w:space="0" w:color="000000"/>
              <w:bottom w:val="single" w:sz="4" w:space="0" w:color="000000"/>
            </w:tcBorders>
          </w:tcPr>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Galeria pluvial tubo de concreto 400 mm.</w:t>
            </w:r>
          </w:p>
        </w:tc>
        <w:tc>
          <w:tcPr>
            <w:tcW w:w="976" w:type="dxa"/>
            <w:tcBorders>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M</w:t>
            </w:r>
          </w:p>
        </w:tc>
        <w:tc>
          <w:tcPr>
            <w:tcW w:w="1720" w:type="dxa"/>
            <w:tcBorders>
              <w:start w:val="single" w:sz="4" w:space="0" w:color="000000"/>
              <w:bottom w:val="single" w:sz="4" w:space="0" w:color="000000"/>
              <w:end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1.200,00</w:t>
            </w:r>
          </w:p>
        </w:tc>
      </w:tr>
      <w:tr>
        <w:trPr>
          <w:trHeight w:val="358" w:hRule="atLeast"/>
        </w:trPr>
        <w:tc>
          <w:tcPr>
            <w:tcW w:w="1081" w:type="dxa"/>
            <w:tcBorders>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5</w:t>
            </w:r>
          </w:p>
        </w:tc>
        <w:tc>
          <w:tcPr>
            <w:tcW w:w="4131" w:type="dxa"/>
            <w:tcBorders>
              <w:start w:val="single" w:sz="4" w:space="0" w:color="000000"/>
              <w:bottom w:val="single" w:sz="4" w:space="0" w:color="000000"/>
            </w:tcBorders>
          </w:tcPr>
          <w:p>
            <w:pPr>
              <w:pStyle w:val="normal1"/>
              <w:widowControl/>
              <w:tabs>
                <w:tab w:val="clear" w:pos="720"/>
                <w:tab w:val="left" w:pos="709" w:leader="none"/>
              </w:tabs>
              <w:spacing w:lineRule="auto" w:line="360"/>
              <w:jc w:val="both"/>
              <w:rPr>
                <w:rFonts w:ascii="Arial" w:hAnsi="Arial" w:eastAsia="Arial" w:cs="Arial"/>
                <w:sz w:val="24"/>
                <w:szCs w:val="24"/>
              </w:rPr>
            </w:pPr>
            <w:r>
              <w:rPr>
                <w:rFonts w:eastAsia="Arial" w:cs="Arial" w:ascii="Arial" w:hAnsi="Arial"/>
                <w:sz w:val="24"/>
                <w:szCs w:val="24"/>
              </w:rPr>
              <w:t>Caixa de captação pluvial parede de bloco.</w:t>
            </w:r>
          </w:p>
        </w:tc>
        <w:tc>
          <w:tcPr>
            <w:tcW w:w="976" w:type="dxa"/>
            <w:tcBorders>
              <w:start w:val="single" w:sz="4" w:space="0" w:color="000000"/>
              <w:bottom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Unid.</w:t>
            </w:r>
          </w:p>
        </w:tc>
        <w:tc>
          <w:tcPr>
            <w:tcW w:w="1720" w:type="dxa"/>
            <w:tcBorders>
              <w:start w:val="single" w:sz="4" w:space="0" w:color="000000"/>
              <w:bottom w:val="single" w:sz="4" w:space="0" w:color="000000"/>
              <w:end w:val="single" w:sz="4" w:space="0" w:color="000000"/>
            </w:tcBorders>
          </w:tcPr>
          <w:p>
            <w:pPr>
              <w:pStyle w:val="normal1"/>
              <w:widowControl/>
              <w:tabs>
                <w:tab w:val="clear" w:pos="720"/>
                <w:tab w:val="left" w:pos="709" w:leader="none"/>
              </w:tabs>
              <w:spacing w:lineRule="auto" w:line="360"/>
              <w:jc w:val="center"/>
              <w:rPr>
                <w:rFonts w:ascii="Arial" w:hAnsi="Arial" w:eastAsia="Arial" w:cs="Arial"/>
                <w:sz w:val="24"/>
                <w:szCs w:val="24"/>
              </w:rPr>
            </w:pPr>
            <w:r>
              <w:rPr>
                <w:rFonts w:eastAsia="Arial" w:cs="Arial" w:ascii="Arial" w:hAnsi="Arial"/>
                <w:sz w:val="24"/>
                <w:szCs w:val="24"/>
              </w:rPr>
              <w:t>40,00</w:t>
            </w:r>
          </w:p>
        </w:tc>
      </w:tr>
    </w:tbl>
    <w:p>
      <w:pPr>
        <w:pStyle w:val="normal1"/>
        <w:widowControl/>
        <w:tabs>
          <w:tab w:val="clear" w:pos="720"/>
          <w:tab w:val="left" w:pos="142"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2"/>
        </w:numPr>
        <w:tabs>
          <w:tab w:val="clear" w:pos="720"/>
          <w:tab w:val="left" w:pos="284" w:leader="none"/>
          <w:tab w:val="left" w:pos="709" w:leader="none"/>
        </w:tabs>
        <w:spacing w:lineRule="auto" w:line="360" w:before="0" w:after="160"/>
        <w:ind w:hanging="360" w:start="720"/>
        <w:jc w:val="both"/>
        <w:rPr>
          <w:rFonts w:ascii="Arial" w:hAnsi="Arial" w:eastAsia="Arial" w:cs="Arial"/>
          <w:sz w:val="24"/>
          <w:szCs w:val="24"/>
        </w:rPr>
      </w:pPr>
      <w:r>
        <w:rPr>
          <w:rFonts w:eastAsia="Arial" w:cs="Arial" w:ascii="Arial" w:hAnsi="Arial"/>
          <w:sz w:val="24"/>
          <w:szCs w:val="24"/>
        </w:rPr>
        <w:t>As Quantidades especificadas no quadro acima são baseadas na curva ABC dos principais tópicos de serviços. Conforme a Instrução Normativa nº 58/DNIT – SEDE de 17 de setembro de 2021:</w:t>
      </w:r>
    </w:p>
    <w:p>
      <w:pPr>
        <w:pStyle w:val="normal1"/>
        <w:widowControl/>
        <w:tabs>
          <w:tab w:val="clear" w:pos="720"/>
          <w:tab w:val="left" w:pos="284" w:leader="none"/>
          <w:tab w:val="left" w:pos="709" w:leader="none"/>
        </w:tabs>
        <w:spacing w:lineRule="auto" w:line="360" w:before="0" w:after="160"/>
        <w:ind w:hanging="0" w:start="720"/>
        <w:jc w:val="both"/>
        <w:rPr>
          <w:rFonts w:ascii="Arial" w:hAnsi="Arial" w:eastAsia="Arial" w:cs="Arial"/>
          <w:sz w:val="24"/>
          <w:szCs w:val="24"/>
        </w:rPr>
      </w:pPr>
      <w:r>
        <w:rPr>
          <w:rFonts w:eastAsia="Arial" w:cs="Arial" w:ascii="Arial" w:hAnsi="Arial"/>
          <w:b/>
          <w:bCs/>
          <w:i/>
          <w:iCs/>
          <w:sz w:val="24"/>
          <w:szCs w:val="24"/>
        </w:rPr>
        <w:t>Art. 4º A exigência de Capacidade Técnica se restringe aos itens de maior relevância técnica e financeira contidas no objeto a ser licitado, em número máximo de 8 (oito) itens, e não superior a 50% (cinqüenta por cento) das quantidades licitadas para o serviço específico.</w:t>
      </w:r>
    </w:p>
    <w:p>
      <w:pPr>
        <w:pStyle w:val="normal1"/>
        <w:widowControl/>
        <w:tabs>
          <w:tab w:val="clear" w:pos="720"/>
          <w:tab w:val="left" w:pos="284" w:leader="none"/>
        </w:tabs>
        <w:spacing w:lineRule="auto" w:line="360" w:before="0" w:after="160"/>
        <w:ind w:hanging="0" w:start="720"/>
        <w:jc w:val="both"/>
        <w:rPr>
          <w:rFonts w:ascii="Arial" w:hAnsi="Arial" w:eastAsia="Arial" w:cs="Arial"/>
          <w:sz w:val="24"/>
          <w:szCs w:val="24"/>
        </w:rPr>
      </w:pPr>
      <w:r>
        <w:rPr>
          <w:rFonts w:eastAsia="Arial" w:cs="Arial" w:ascii="Arial" w:hAnsi="Arial"/>
          <w:b/>
          <w:bCs/>
          <w:i/>
          <w:iCs/>
          <w:sz w:val="24"/>
          <w:szCs w:val="24"/>
        </w:rPr>
        <w:t>§ 1º ...</w:t>
      </w:r>
    </w:p>
    <w:p>
      <w:pPr>
        <w:pStyle w:val="normal1"/>
        <w:widowControl/>
        <w:tabs>
          <w:tab w:val="clear" w:pos="720"/>
          <w:tab w:val="left" w:pos="284" w:leader="none"/>
        </w:tabs>
        <w:spacing w:lineRule="auto" w:line="360" w:before="0" w:after="160"/>
        <w:ind w:hanging="0" w:start="720"/>
        <w:jc w:val="both"/>
        <w:rPr>
          <w:rFonts w:ascii="Arial" w:hAnsi="Arial" w:eastAsia="Arial" w:cs="Arial"/>
          <w:sz w:val="24"/>
          <w:szCs w:val="24"/>
        </w:rPr>
      </w:pPr>
      <w:r>
        <w:rPr>
          <w:rFonts w:eastAsia="Arial" w:cs="Arial" w:ascii="Arial" w:hAnsi="Arial"/>
          <w:b/>
          <w:bCs/>
          <w:i/>
          <w:iCs/>
          <w:sz w:val="24"/>
          <w:szCs w:val="24"/>
        </w:rPr>
        <w:t xml:space="preserve"> </w:t>
      </w:r>
      <w:r>
        <w:rPr>
          <w:rFonts w:eastAsia="Arial" w:cs="Arial" w:ascii="Arial" w:hAnsi="Arial"/>
          <w:b/>
          <w:bCs/>
          <w:i/>
          <w:iCs/>
          <w:sz w:val="24"/>
          <w:szCs w:val="24"/>
        </w:rPr>
        <w:t>2º Os itens de serviço de maior relevância técnica e financeira são aqueles que constem do objeto licitado em valor igual ou superior a 4% (quatro por cento) do orçamento total do objeto, e sejam tecnicamente pertinentes, limitados a, no máximo, 8 (oito) itens.</w:t>
      </w:r>
    </w:p>
    <w:p>
      <w:pPr>
        <w:pStyle w:val="normal1"/>
        <w:widowControl/>
        <w:numPr>
          <w:ilvl w:val="0"/>
          <w:numId w:val="2"/>
        </w:numPr>
        <w:tabs>
          <w:tab w:val="clear" w:pos="720"/>
          <w:tab w:val="left" w:pos="284" w:leader="none"/>
          <w:tab w:val="left" w:pos="709" w:leader="none"/>
        </w:tabs>
        <w:spacing w:lineRule="auto" w:line="360" w:before="0" w:after="160"/>
        <w:ind w:hanging="360" w:start="720"/>
        <w:jc w:val="both"/>
        <w:rPr>
          <w:rFonts w:ascii="Arial" w:hAnsi="Arial" w:eastAsia="Arial" w:cs="Arial"/>
          <w:sz w:val="24"/>
          <w:szCs w:val="24"/>
        </w:rPr>
      </w:pPr>
      <w:r>
        <w:rPr>
          <w:rFonts w:eastAsia="Arial" w:cs="Arial" w:ascii="Arial" w:hAnsi="Arial"/>
          <w:sz w:val="24"/>
          <w:szCs w:val="24"/>
        </w:rPr>
        <w:t>Para efeitos de cálculos serão considerados o valor de 40% da quantidade estabelecida em orçamento.</w:t>
      </w:r>
    </w:p>
    <w:p>
      <w:pPr>
        <w:pStyle w:val="normal1"/>
        <w:widowControl/>
        <w:numPr>
          <w:ilvl w:val="0"/>
          <w:numId w:val="2"/>
        </w:numPr>
        <w:tabs>
          <w:tab w:val="clear" w:pos="720"/>
          <w:tab w:val="left" w:pos="709" w:leader="none"/>
        </w:tabs>
        <w:spacing w:lineRule="auto" w:line="360" w:before="0" w:after="160"/>
        <w:ind w:hanging="360" w:start="720"/>
        <w:jc w:val="both"/>
        <w:rPr>
          <w:rFonts w:ascii="Arial" w:hAnsi="Arial" w:eastAsia="Arial" w:cs="Arial"/>
          <w:sz w:val="24"/>
          <w:szCs w:val="24"/>
        </w:rPr>
      </w:pPr>
      <w:r>
        <w:rPr>
          <w:rFonts w:eastAsia="Arial" w:cs="Arial" w:ascii="Arial" w:hAnsi="Arial"/>
          <w:sz w:val="24"/>
          <w:szCs w:val="24"/>
        </w:rPr>
        <w:t>Atestado de capacidade técnica que comprove que o Engenheiro responsável técnico pela obra tenha executado obras/serviços de características técnicas similares às do objeto da presente licitação.</w:t>
      </w:r>
    </w:p>
    <w:p>
      <w:pPr>
        <w:pStyle w:val="normal1"/>
        <w:widowControl/>
        <w:numPr>
          <w:ilvl w:val="0"/>
          <w:numId w:val="2"/>
        </w:numPr>
        <w:spacing w:lineRule="auto" w:line="360" w:before="120" w:after="0"/>
        <w:ind w:hanging="360" w:start="720"/>
        <w:jc w:val="both"/>
        <w:rPr>
          <w:rFonts w:ascii="Arial" w:hAnsi="Arial" w:eastAsia="Arial" w:cs="Arial"/>
          <w:sz w:val="24"/>
          <w:szCs w:val="24"/>
        </w:rPr>
      </w:pPr>
      <w:r>
        <w:rPr>
          <w:rFonts w:eastAsia="Arial" w:cs="Arial" w:ascii="Arial" w:hAnsi="Arial"/>
          <w:b/>
          <w:bCs/>
          <w:sz w:val="24"/>
          <w:szCs w:val="24"/>
        </w:rPr>
        <w:t>Habilitação jurídica</w:t>
      </w:r>
    </w:p>
    <w:p>
      <w:pPr>
        <w:pStyle w:val="normal1"/>
        <w:widowControl/>
        <w:numPr>
          <w:ilvl w:val="0"/>
          <w:numId w:val="34"/>
        </w:numPr>
        <w:spacing w:lineRule="auto" w:line="360" w:before="120" w:after="0"/>
        <w:ind w:hanging="360" w:start="1608"/>
        <w:jc w:val="both"/>
        <w:rPr>
          <w:rFonts w:ascii="Arial" w:hAnsi="Arial" w:eastAsia="Arial" w:cs="Arial"/>
          <w:sz w:val="24"/>
          <w:szCs w:val="24"/>
        </w:rPr>
      </w:pPr>
      <w:r>
        <w:rPr>
          <w:rFonts w:eastAsia="Arial" w:cs="Arial" w:ascii="Arial" w:hAnsi="Arial"/>
          <w:sz w:val="24"/>
          <w:szCs w:val="24"/>
        </w:rPr>
        <w:t>Cédula de identidade; </w:t>
      </w:r>
    </w:p>
    <w:p>
      <w:pPr>
        <w:pStyle w:val="normal1"/>
        <w:widowControl/>
        <w:numPr>
          <w:ilvl w:val="0"/>
          <w:numId w:val="34"/>
        </w:numPr>
        <w:spacing w:lineRule="auto" w:line="360"/>
        <w:ind w:hanging="360" w:start="1608"/>
        <w:jc w:val="both"/>
        <w:rPr>
          <w:rFonts w:ascii="Arial" w:hAnsi="Arial" w:eastAsia="Arial" w:cs="Arial"/>
          <w:sz w:val="24"/>
          <w:szCs w:val="24"/>
        </w:rPr>
      </w:pPr>
      <w:bookmarkStart w:id="2" w:name="_heading=h.6kypxso5pbkr"/>
      <w:bookmarkEnd w:id="2"/>
      <w:r>
        <w:rPr>
          <w:rFonts w:eastAsia="Arial" w:cs="Arial" w:ascii="Arial" w:hAnsi="Arial"/>
          <w:sz w:val="24"/>
          <w:szCs w:val="24"/>
        </w:rPr>
        <w:t>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prova de diretoria em exercício, decreto de autorização, em se tratando de empresa ou sociedade estrangeira em funcionamento no País, e ato de registro ou autorização para funcionamento expedido pelo órgão competente, quando a atividade assim o exigir.</w:t>
      </w:r>
    </w:p>
    <w:p>
      <w:pPr>
        <w:pStyle w:val="normal1"/>
        <w:widowControl/>
        <w:numPr>
          <w:ilvl w:val="0"/>
          <w:numId w:val="34"/>
        </w:numPr>
        <w:spacing w:lineRule="auto" w:line="276"/>
        <w:ind w:hanging="360" w:start="1608"/>
        <w:jc w:val="both"/>
        <w:rPr>
          <w:rFonts w:ascii="Arial" w:hAnsi="Arial" w:eastAsia="Arial" w:cs="Arial"/>
          <w:sz w:val="24"/>
          <w:szCs w:val="24"/>
        </w:rPr>
      </w:pPr>
      <w:r>
        <w:rPr>
          <w:rFonts w:eastAsia="Arial" w:cs="Arial" w:ascii="Arial" w:hAnsi="Arial"/>
          <w:sz w:val="24"/>
          <w:szCs w:val="24"/>
        </w:rPr>
        <w:t>Os documentos apresentados deverão estar acompanhados de todas as alterações ou da consolidação respectiva.</w:t>
      </w:r>
    </w:p>
    <w:p>
      <w:pPr>
        <w:pStyle w:val="normal1"/>
        <w:widowControl/>
        <w:numPr>
          <w:ilvl w:val="0"/>
          <w:numId w:val="13"/>
        </w:numPr>
        <w:spacing w:lineRule="auto" w:line="360"/>
        <w:ind w:hanging="360" w:start="720"/>
        <w:jc w:val="both"/>
        <w:rPr>
          <w:rFonts w:ascii="Arial" w:hAnsi="Arial" w:eastAsia="Arial" w:cs="Arial"/>
          <w:sz w:val="24"/>
          <w:szCs w:val="24"/>
        </w:rPr>
      </w:pPr>
      <w:r>
        <w:rPr>
          <w:rFonts w:eastAsia="Arial" w:cs="Arial" w:ascii="Arial" w:hAnsi="Arial"/>
          <w:b/>
          <w:bCs/>
          <w:sz w:val="24"/>
          <w:szCs w:val="24"/>
        </w:rPr>
        <w:t>Habilitação fiscal, social e trabalhista</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Prova de inscrição no Cadastro Nacional de Pessoas Jurídicas ou no Cadastro de Pessoas Físicas, conforme o caso;</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Prova de regularidade com o Fundo de Garantia do Tempo de Serviço (FGTS);</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 xml:space="preserve">Prova de inscrição no cadastro de contribuintes referente ao domicílio ou sede do fornecedor, pertinente ao seu ramo de atividade e compatível com o objeto contratual; </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Prova de regularidade com a Fazenda (Municipal, Estadual e Federal) o domicílio ou sede do fornecedor, relativa à atividade em cujo exercício contrata ou concorre;</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Caso o fornecedor seja considerado isento dos tributos Municipal, Estadual e Federal</w:t>
      </w:r>
      <w:r>
        <w:rPr>
          <w:rFonts w:eastAsia="Arial" w:cs="Arial" w:ascii="Arial" w:hAnsi="Arial"/>
          <w:i/>
          <w:iCs/>
          <w:sz w:val="24"/>
          <w:szCs w:val="24"/>
        </w:rPr>
        <w:t xml:space="preserve"> </w:t>
      </w:r>
      <w:r>
        <w:rPr>
          <w:rFonts w:eastAsia="Arial" w:cs="Arial" w:ascii="Arial" w:hAnsi="Arial"/>
          <w:sz w:val="24"/>
          <w:szCs w:val="24"/>
        </w:rPr>
        <w:t>relacionado ao objeto contratual, deverá comprovar tal condição mediante a apresentação de declaração da Fazenda respectiva do seu domicílio ou sede, ou outra equivalente, na forma da lei.</w:t>
      </w:r>
    </w:p>
    <w:p>
      <w:pPr>
        <w:pStyle w:val="normal1"/>
        <w:widowControl/>
        <w:numPr>
          <w:ilvl w:val="0"/>
          <w:numId w:val="11"/>
        </w:numPr>
        <w:spacing w:lineRule="auto" w:line="276"/>
        <w:ind w:hanging="360" w:start="1608"/>
        <w:jc w:val="both"/>
        <w:rPr>
          <w:rFonts w:ascii="Arial" w:hAnsi="Arial" w:eastAsia="Arial" w:cs="Arial"/>
          <w:sz w:val="24"/>
          <w:szCs w:val="24"/>
        </w:rPr>
      </w:pPr>
      <w:r>
        <w:rPr>
          <w:rFonts w:eastAsia="Arial" w:cs="Arial" w:ascii="Arial" w:hAnsi="Arial"/>
          <w:sz w:val="24"/>
          <w:szCs w:val="24"/>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14"/>
        </w:numPr>
        <w:spacing w:lineRule="auto" w:line="360" w:before="120" w:after="120"/>
        <w:ind w:hanging="360" w:start="720"/>
        <w:jc w:val="both"/>
        <w:rPr>
          <w:rFonts w:ascii="Arial" w:hAnsi="Arial" w:eastAsia="Arial" w:cs="Arial"/>
          <w:sz w:val="24"/>
          <w:szCs w:val="24"/>
        </w:rPr>
      </w:pPr>
      <w:r>
        <w:rPr>
          <w:rFonts w:eastAsia="Arial" w:cs="Arial" w:ascii="Arial" w:hAnsi="Arial"/>
          <w:b/>
          <w:bCs/>
          <w:sz w:val="24"/>
          <w:szCs w:val="24"/>
        </w:rPr>
        <w:t>Qualificação Econômica – Financeira</w:t>
      </w:r>
      <w:r>
        <w:rPr>
          <w:rFonts w:eastAsia="Arial" w:cs="Arial" w:ascii="Arial" w:hAnsi="Arial"/>
          <w:sz w:val="24"/>
          <w:szCs w:val="24"/>
        </w:rPr>
        <w:t xml:space="preserve">. </w:t>
      </w:r>
    </w:p>
    <w:p>
      <w:pPr>
        <w:pStyle w:val="normal1"/>
        <w:widowControl/>
        <w:numPr>
          <w:ilvl w:val="0"/>
          <w:numId w:val="12"/>
        </w:numPr>
        <w:spacing w:lineRule="auto" w:line="360"/>
        <w:ind w:hanging="360" w:start="1608"/>
        <w:jc w:val="both"/>
        <w:rPr>
          <w:rFonts w:ascii="Arial" w:hAnsi="Arial" w:eastAsia="Arial" w:cs="Arial"/>
          <w:sz w:val="24"/>
          <w:szCs w:val="24"/>
        </w:rPr>
      </w:pPr>
      <w:r>
        <w:rPr>
          <w:rFonts w:eastAsia="Arial" w:cs="Arial" w:ascii="Arial" w:hAnsi="Arial"/>
          <w:sz w:val="24"/>
          <w:szCs w:val="24"/>
        </w:rPr>
        <w:t>Certidão negativa de insolvência civil expedida pelo distribuidor do domicílio ou sede do licitante, caso se trate de pessoa física, desde que admitida a sua participação na licitação (</w:t>
      </w:r>
      <w:r>
        <w:rPr>
          <w:rFonts w:eastAsia="Arial" w:cs="Arial" w:ascii="Arial" w:hAnsi="Arial"/>
          <w:color w:val="000080"/>
          <w:sz w:val="24"/>
          <w:szCs w:val="24"/>
          <w:u w:val="single"/>
        </w:rPr>
        <w:t xml:space="preserve">art. 5º, inciso II, alínea </w:t>
      </w:r>
    </w:p>
    <w:p>
      <w:pPr>
        <w:pStyle w:val="normal1"/>
        <w:widowControl/>
        <w:numPr>
          <w:ilvl w:val="0"/>
          <w:numId w:val="12"/>
        </w:numPr>
        <w:spacing w:lineRule="auto" w:line="360"/>
        <w:ind w:hanging="360" w:start="1608"/>
        <w:jc w:val="both"/>
        <w:rPr>
          <w:rFonts w:ascii="Arial" w:hAnsi="Arial" w:eastAsia="Arial" w:cs="Arial"/>
          <w:sz w:val="24"/>
          <w:szCs w:val="24"/>
        </w:rPr>
      </w:pPr>
      <w:r>
        <w:rPr>
          <w:rFonts w:eastAsia="Arial" w:cs="Arial" w:ascii="Arial" w:hAnsi="Arial"/>
          <w:color w:val="000080"/>
          <w:sz w:val="24"/>
          <w:szCs w:val="24"/>
          <w:u w:val="single"/>
        </w:rPr>
        <w:t>“</w:t>
      </w:r>
      <w:r>
        <w:rPr>
          <w:rFonts w:eastAsia="Arial" w:cs="Arial" w:ascii="Arial" w:hAnsi="Arial"/>
          <w:color w:val="000080"/>
          <w:sz w:val="24"/>
          <w:szCs w:val="24"/>
          <w:u w:val="single"/>
        </w:rPr>
        <w:t>c”, da Instrução Normativa Seges/ME n.º 116, de 2021</w:t>
      </w:r>
      <w:r>
        <w:rPr>
          <w:rFonts w:eastAsia="Arial" w:cs="Arial" w:ascii="Arial" w:hAnsi="Arial"/>
          <w:sz w:val="24"/>
          <w:szCs w:val="24"/>
        </w:rPr>
        <w:t xml:space="preserve">), ou de sociedade simples; </w:t>
      </w:r>
    </w:p>
    <w:p>
      <w:pPr>
        <w:pStyle w:val="normal1"/>
        <w:widowControl/>
        <w:numPr>
          <w:ilvl w:val="0"/>
          <w:numId w:val="12"/>
        </w:numPr>
        <w:spacing w:lineRule="auto" w:line="360"/>
        <w:ind w:hanging="360" w:start="1608"/>
        <w:jc w:val="both"/>
        <w:rPr>
          <w:rFonts w:ascii="Arial" w:hAnsi="Arial" w:eastAsia="Arial" w:cs="Arial"/>
          <w:sz w:val="24"/>
          <w:szCs w:val="24"/>
        </w:rPr>
      </w:pPr>
      <w:r>
        <w:rPr>
          <w:rFonts w:eastAsia="Arial" w:cs="Arial" w:ascii="Arial" w:hAnsi="Arial"/>
          <w:sz w:val="24"/>
          <w:szCs w:val="24"/>
        </w:rPr>
        <w:t xml:space="preserve">Certidão negativa de falência expedida pelo distribuidor da sede do fornecedor - </w:t>
      </w:r>
      <w:r>
        <w:rPr>
          <w:rFonts w:eastAsia="Arial" w:cs="Arial" w:ascii="Arial" w:hAnsi="Arial"/>
          <w:color w:val="000080"/>
          <w:sz w:val="24"/>
          <w:szCs w:val="24"/>
          <w:u w:val="single"/>
        </w:rPr>
        <w:t>Lei n.º 14.133, de 2021, art. 69, caput, inciso II</w:t>
      </w:r>
      <w:r>
        <w:rPr>
          <w:rFonts w:eastAsia="Arial" w:cs="Arial" w:ascii="Arial" w:hAnsi="Arial"/>
          <w:sz w:val="24"/>
          <w:szCs w:val="24"/>
        </w:rPr>
        <w:t>);</w:t>
      </w:r>
    </w:p>
    <w:p>
      <w:pPr>
        <w:pStyle w:val="normal1"/>
        <w:widowControl/>
        <w:numPr>
          <w:ilvl w:val="0"/>
          <w:numId w:val="12"/>
        </w:numPr>
        <w:spacing w:lineRule="auto" w:line="360" w:before="0" w:after="120"/>
        <w:ind w:hanging="360" w:start="1608"/>
        <w:jc w:val="both"/>
        <w:rPr>
          <w:rFonts w:ascii="Arial" w:hAnsi="Arial" w:eastAsia="Arial" w:cs="Arial"/>
          <w:sz w:val="24"/>
          <w:szCs w:val="24"/>
        </w:rPr>
      </w:pPr>
      <w:r>
        <w:rPr>
          <w:rFonts w:eastAsia="Arial" w:cs="Arial" w:ascii="Arial" w:hAnsi="Arial"/>
          <w:sz w:val="24"/>
          <w:szCs w:val="24"/>
        </w:rPr>
        <w:t xml:space="preserve">Balanço patrimonial, demonstração de resultado de exercício e demais demonstrações contábeis dos </w:t>
      </w:r>
      <w:r>
        <w:rPr>
          <w:rFonts w:eastAsia="Arial" w:cs="Arial" w:ascii="Arial" w:hAnsi="Arial"/>
          <w:b/>
          <w:bCs/>
          <w:sz w:val="24"/>
          <w:szCs w:val="24"/>
        </w:rPr>
        <w:t>2 (dois) últimos exercícios sociais</w:t>
      </w:r>
      <w:r>
        <w:rPr>
          <w:rFonts w:eastAsia="Arial" w:cs="Arial" w:ascii="Arial" w:hAnsi="Arial"/>
          <w:sz w:val="24"/>
          <w:szCs w:val="24"/>
        </w:rPr>
        <w:t>, comprovando:</w:t>
      </w:r>
    </w:p>
    <w:p>
      <w:pPr>
        <w:pStyle w:val="normal1"/>
        <w:widowControl/>
        <w:spacing w:lineRule="auto" w:line="360" w:before="120" w:after="120"/>
        <w:ind w:hanging="0" w:start="1506"/>
        <w:jc w:val="both"/>
        <w:rPr>
          <w:rFonts w:ascii="Arial" w:hAnsi="Arial" w:eastAsia="Arial" w:cs="Arial"/>
          <w:sz w:val="24"/>
          <w:szCs w:val="24"/>
        </w:rPr>
      </w:pPr>
      <w:r>
        <w:rPr>
          <w:rFonts w:eastAsia="Arial" w:cs="Arial" w:ascii="Arial" w:hAnsi="Arial"/>
          <w:sz w:val="24"/>
          <w:szCs w:val="24"/>
        </w:rPr>
        <w:t>- Índices de Liquidez Geral (LG), Liquidez Corrente (LC), e Solvência Geral (SG) iguais ou superiores a 1 (um);</w:t>
      </w:r>
    </w:p>
    <w:p>
      <w:pPr>
        <w:pStyle w:val="normal1"/>
        <w:widowControl/>
        <w:spacing w:lineRule="auto" w:line="360" w:before="120" w:after="120"/>
        <w:ind w:hanging="0" w:start="1506"/>
        <w:jc w:val="both"/>
        <w:rPr>
          <w:rFonts w:ascii="Arial" w:hAnsi="Arial" w:eastAsia="Arial" w:cs="Arial"/>
          <w:sz w:val="24"/>
          <w:szCs w:val="24"/>
        </w:rPr>
      </w:pPr>
      <w:r>
        <w:rPr>
          <w:rFonts w:eastAsia="Arial" w:cs="Arial" w:ascii="Arial" w:hAnsi="Arial"/>
          <w:sz w:val="24"/>
          <w:szCs w:val="24"/>
        </w:rPr>
        <w:t>- As empresas criadas no exercício financeiro da licitação deverão atender a todas as exigências da habilitação e poderão substituir os demonstrativos contábeis pelo balanço de abertura.</w:t>
      </w:r>
    </w:p>
    <w:p>
      <w:pPr>
        <w:pStyle w:val="normal1"/>
        <w:widowControl/>
        <w:spacing w:lineRule="auto" w:line="360" w:before="120" w:after="120"/>
        <w:ind w:hanging="0" w:start="1506"/>
        <w:jc w:val="both"/>
        <w:rPr>
          <w:rFonts w:ascii="Arial" w:hAnsi="Arial" w:eastAsia="Arial" w:cs="Arial"/>
          <w:sz w:val="24"/>
          <w:szCs w:val="24"/>
        </w:rPr>
      </w:pPr>
      <w:r>
        <w:rPr>
          <w:rFonts w:eastAsia="Arial" w:cs="Arial" w:ascii="Arial" w:hAnsi="Arial"/>
          <w:sz w:val="24"/>
          <w:szCs w:val="24"/>
        </w:rPr>
        <w:t>- Os documentos referidos acima limitar-se-ão ao último exercício no caso de a pessoa jurídica ter sido constituída há menos de 2 (dois) anos;</w:t>
      </w:r>
    </w:p>
    <w:p>
      <w:pPr>
        <w:pStyle w:val="normal1"/>
        <w:widowControl/>
        <w:spacing w:lineRule="auto" w:line="360" w:before="120" w:after="120"/>
        <w:ind w:hanging="0" w:start="1506"/>
        <w:jc w:val="both"/>
        <w:rPr>
          <w:rFonts w:ascii="Arial" w:hAnsi="Arial" w:eastAsia="Arial" w:cs="Arial"/>
          <w:sz w:val="24"/>
          <w:szCs w:val="24"/>
        </w:rPr>
      </w:pPr>
      <w:r>
        <w:rPr>
          <w:rFonts w:eastAsia="Arial" w:cs="Arial" w:ascii="Arial" w:hAnsi="Arial"/>
          <w:sz w:val="24"/>
          <w:szCs w:val="24"/>
        </w:rPr>
        <w:t>Os documentos referidos acima deverão ser exigidos com base no limite definido pela Receita Federal do Brasil para transmissão da Escrituração Contábil Digital - ECD ao Sped.</w:t>
      </w:r>
    </w:p>
    <w:p>
      <w:pPr>
        <w:pStyle w:val="normal1"/>
        <w:widowControl/>
        <w:numPr>
          <w:ilvl w:val="0"/>
          <w:numId w:val="3"/>
        </w:numPr>
        <w:spacing w:lineRule="auto" w:line="360"/>
        <w:ind w:hanging="360" w:start="1608"/>
        <w:jc w:val="both"/>
        <w:rPr>
          <w:rFonts w:ascii="Arial" w:hAnsi="Arial" w:eastAsia="Arial" w:cs="Arial"/>
          <w:sz w:val="24"/>
          <w:szCs w:val="24"/>
        </w:rPr>
      </w:pPr>
      <w:r>
        <w:rPr>
          <w:rFonts w:eastAsia="Arial" w:cs="Arial" w:ascii="Arial" w:hAnsi="Arial"/>
          <w:sz w:val="24"/>
          <w:szCs w:val="24"/>
        </w:rPr>
        <w:t>O atendimento dos índices econômicos previstos neste item deverá ser atestado mediante declaração assinada por profissional habilitado da área contábil, apresentada pelo fornecedor.</w:t>
      </w:r>
    </w:p>
    <w:p>
      <w:pPr>
        <w:pStyle w:val="normal1"/>
        <w:widowControl/>
        <w:spacing w:lineRule="auto" w:line="360" w:before="0" w:after="160"/>
        <w:ind w:hanging="0" w:start="720"/>
        <w:jc w:val="both"/>
        <w:rPr>
          <w:rFonts w:ascii="Arial" w:hAnsi="Arial" w:eastAsia="Arial" w:cs="Arial"/>
          <w:sz w:val="24"/>
          <w:szCs w:val="24"/>
        </w:rPr>
      </w:pPr>
      <w:r>
        <w:rPr>
          <w:rFonts w:eastAsia="Arial" w:cs="Arial" w:ascii="Arial" w:hAnsi="Arial"/>
          <w:sz w:val="24"/>
          <w:szCs w:val="24"/>
        </w:rPr>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OBRIGAÇÕES DA CONTRATANTE</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Designar servidor gestor do Contrato, ao qual caberá a responsabilidade de acompanhar, fiscalizar e avaliar a execução do Contrato, conforme legislação vigente.</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Proporcionar à Contratada todas as facilidades para o perfeito fornecimento/execução do objeto licitado.</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Rejeitar, no todo ou em parte, os produtos ou serviços entregues em desacordo com as obrigações assumidas pela CONTRATADA.</w:t>
      </w:r>
    </w:p>
    <w:p>
      <w:pPr>
        <w:pStyle w:val="normal1"/>
        <w:widowControl/>
        <w:tabs>
          <w:tab w:val="clear" w:pos="720"/>
          <w:tab w:val="left" w:pos="709" w:leader="none"/>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Dar recebimento dos materiais/serviços solicitados e fornecidos em conformidade com este Termo de Referência.</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Elaborar medições mensais com registros das quantidades efetivamente recebidas e o valor financeiro correspondente, conforme padrões estabelecidos em Especificações de Serviços praticados pelo DNIT (SICRO), SINAPI ou SIE;</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As medições a que se refere no item anterior, as quantidades levantadas serão aferidas através de serviços de topografia e de laboratórios e lançando conforme as unidades estabelecidas nas planilhas de orçamentos (metros linear, metro quadrado, metro cúbico, tonelada e unidade de serviço);</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As composições dos preços unitários são estabelecidas conforme consta nas tabelas de orçamento do SICRO/SINAP ou quando for caso composição de preços da própria PMF;</w:t>
      </w:r>
    </w:p>
    <w:p>
      <w:pPr>
        <w:pStyle w:val="normal1"/>
        <w:widowControl/>
        <w:tabs>
          <w:tab w:val="clear" w:pos="720"/>
          <w:tab w:val="left" w:pos="709"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Efetuar o pagamento no preço e nas condições pactuadas.</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CONDIÇÕES DE PAGAMENTO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Mensalmente, após aferir a perfeita execução dos serviços solicitados, de acordo com a metodologia aplicável SINAPI/SICRO, a FISCALIZAÇÃO medirá os serviços realizados e elaborará o boletim de medição, que deverá ser assinado pela CONTRATANTE e CONTRATADA.</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Os pagamentos somente serão efetuados com a apresentação da Nota Fiscal devidamente atestada com o aceite do fiscal do Contrato.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Em caso de não atendimento às especificações, os materiais serão devolvidos e todos os custos envolvidos, como o transporte, as análises realizadas serão de responsabilidade da CONTRATADA, não excluindo a licitante das demais penalidades previstas no Edital.</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As formas de pagamento bem como os prazos estarão de acordo com a Instrução Normativa nº 005/SMF/GAB/2025 da Secretaria Municipal da Fazenda e posteriores.</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ACOMPANHAMENTO E FISCALIZAÇÃO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acompanhamento e a fiscalização da execução do contrato consistem na verificação da conformidade da entrega do produto/serviço e da alocação dos recursos necessários, de forma a assegurar o perfeito cumprimento do contrato e sua finalidade, e será exercido por um representante da CONTRATANTE, especialmente designado.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acompanhamento do contrato será realizado por meio de instrumentos de controle, que compreendam a mensuração dos seguintes aspectos: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Os resultados alcançados em relação ao contratado, com a verificação dos prazos de execução e da qualidade demandada.</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 xml:space="preserve">O cumprimento das demais obrigações decorrentes do contrato.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 Fiscal do contrato da CONTRATANTE terá acesso a qualquer tempo aos registros dos serviços.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 CONTRATADA ficará sujeita a mais ampla e irrestrita fiscalização, obrigando-se a prestar todos os esclarecimentos porventura requeridos pela CONTRATANTE.</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Os produtos/serviços serão recusados e devolvidos nas seguintes hipóteses: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Nota fiscal com especificação e quantidades em desacordo com o discriminado na solicitação de serviço.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 xml:space="preserve">Entregues em desacordo com as especificações dos requisitos obrigatórios deste Termo de Referência.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 assistência da fiscalização da CONTRATANTE, de nenhum modo diminui ou altera a responsabilidade da CONTRATADA, na prestação dos serviços e produtos a serem entregues.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sz w:val="24"/>
          <w:szCs w:val="24"/>
        </w:rPr>
        <w:t>A Fiscalização poderá exigir o afastamento de qualquer funcionário ou do preposto da licitante vencedora que venham causar embaraço à fiscalização, que adotem procedimentos incompatíveis com o exercício das funções que lhe forem atribuídas ou, ainda, por incompetência, indisciplina ou que perturbe o bom andamento dos trabalhos.</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MEDIDAS DE CONTROLE AMBIENTAL A SEREM REALIZADAS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 xml:space="preserve">Durante a execução das obras, todas as intervenções programadas pela CONTRATADA deverão seguir os “Componentes Ambientais”, bem como as orientações e diretrizes ambientais do Manual para Atividades Ambientais Rodoviárias, Instruções de Serviço e Especificações (DNIT), </w:t>
      </w:r>
      <w:r>
        <w:rPr>
          <w:rFonts w:eastAsia="Arial" w:cs="Arial" w:ascii="Arial" w:hAnsi="Arial"/>
          <w:b/>
          <w:bCs/>
          <w:sz w:val="24"/>
          <w:szCs w:val="24"/>
        </w:rPr>
        <w:t>no que couber.</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 xml:space="preserve">Para as diretrizes e especificações, foi montada uma tabela com as diretrizes gerais a serem consideradas na execução das obras </w:t>
      </w:r>
      <w:r>
        <w:rPr>
          <w:rFonts w:eastAsia="Arial" w:cs="Arial" w:ascii="Arial" w:hAnsi="Arial"/>
          <w:b/>
          <w:bCs/>
          <w:sz w:val="24"/>
          <w:szCs w:val="24"/>
        </w:rPr>
        <w:t>VIÁRIAS.</w:t>
      </w:r>
    </w:p>
    <w:p>
      <w:pPr>
        <w:pStyle w:val="normal1"/>
        <w:widowControl/>
        <w:tabs>
          <w:tab w:val="clear" w:pos="720"/>
          <w:tab w:val="left" w:pos="142" w:leader="none"/>
        </w:tabs>
        <w:spacing w:lineRule="auto" w:line="360" w:before="0" w:after="160"/>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Plano de Qualidade e Controle Ambiental</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O Plano de Controle Ambiental visa controlar ambientalmente através de diretrizes, as ações referentes às obras, diminuindo os efeitos negativos em relação ao meio ambiente.</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As potencialidades dos impactos das áreas das obras referem-se aos seguintes aspectos: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Na execução da obra/pavimentação, qualquer material excedente não deve ser acondicionado ao longo da obra/Via e sim em locais específicos, para evitar contaminação em corpos d'águas existentes.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xml:space="preserve">Natureza da operação </w:t>
        <w:tab/>
        <w:t>- Preventiva</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xml:space="preserve">Fase do empreendimento </w:t>
        <w:tab/>
        <w:t>- Obras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xml:space="preserve">Fator ambiental </w:t>
        <w:tab/>
        <w:tab/>
        <w:t>- Físico/Biótico</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Prazo</w:t>
        <w:tab/>
        <w:tab/>
        <w:tab/>
        <w:t xml:space="preserve">            - Curto</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Equipes e equipamentos</w:t>
        <w:tab/>
        <w:t xml:space="preserve">- Encarregado de turma </w:t>
        <w:tab/>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ab/>
        <w:tab/>
        <w:tab/>
        <w:tab/>
        <w:t>- Operários</w:t>
        <w:tab/>
        <w:tab/>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ab/>
        <w:tab/>
        <w:tab/>
        <w:tab/>
        <w:t>- Caminhão basculante</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Nos locais onde houver a necessidade de trabalhos sobre a plataforma da obra/rodovia, será necessário tomar cuidado em todas as operações e uso de equipamentos, para proteger o público e para facilitar o tráfego.</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Deverá ser executada sinalização adequada a fim de não causar danos e/ou acidentes aos operários bem como aos visitantes e transeuntes.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xml:space="preserve">Natureza da operação </w:t>
        <w:tab/>
        <w:t>- Preventiva</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xml:space="preserve">Fase do empreendimento </w:t>
        <w:tab/>
        <w:t>- Obras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xml:space="preserve">Fator ambiental </w:t>
        <w:tab/>
        <w:tab/>
        <w:t>- Antrópico</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Prazo</w:t>
        <w:tab/>
        <w:tab/>
        <w:tab/>
        <w:t xml:space="preserve">             - Médio</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Equipes e equipamentos</w:t>
        <w:tab/>
        <w:t>- Sinalização Provisória para obras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ab/>
        <w:tab/>
        <w:tab/>
        <w:tab/>
        <w:t xml:space="preserve">- Encarregado de turma </w:t>
        <w:tab/>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Operários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Programa de Controle de Resíduos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Os resíduos sólidos das obras constituem uma problemática ambiental, haja vista os efeitos deletérios que podem causar ao meio ambiente, quando não há uma gestão adequada dos mesmos. Tais efeitos podem ser verificados pela poluição do solo e da água, além da contribuição para o assoreamento de corpos hídricos, quando lançados em locais inadequados.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 xml:space="preserve">Neste sentido, a CONTRATADA deverá ter um Plano de Gerenciamento de Resíduos da Construção Civil – PGRCC, em atendimento ao que dispõe a legislação federal e municipal respectivamente a </w:t>
      </w:r>
      <w:r>
        <w:rPr>
          <w:rFonts w:eastAsia="Arial" w:cs="Arial" w:ascii="Arial" w:hAnsi="Arial"/>
          <w:b/>
          <w:bCs/>
          <w:sz w:val="24"/>
          <w:szCs w:val="24"/>
        </w:rPr>
        <w:t>Lei nº 12.305/;2010</w:t>
      </w:r>
      <w:r>
        <w:rPr>
          <w:rFonts w:eastAsia="Arial" w:cs="Arial" w:ascii="Arial" w:hAnsi="Arial"/>
          <w:sz w:val="24"/>
          <w:szCs w:val="24"/>
        </w:rPr>
        <w:t xml:space="preserve"> e </w:t>
      </w:r>
      <w:r>
        <w:rPr>
          <w:rFonts w:eastAsia="Arial" w:cs="Arial" w:ascii="Arial" w:hAnsi="Arial"/>
          <w:b/>
          <w:bCs/>
          <w:sz w:val="24"/>
          <w:szCs w:val="24"/>
        </w:rPr>
        <w:t>Lei 10.607/2019.</w:t>
      </w:r>
      <w:r>
        <w:rPr>
          <w:rFonts w:eastAsia="Arial" w:cs="Arial" w:ascii="Arial" w:hAnsi="Arial"/>
          <w:sz w:val="24"/>
          <w:szCs w:val="24"/>
        </w:rPr>
        <w:t xml:space="preserve"> </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A redução do volume de entulhos gerados durante a execução da obra, seu tratamento e destino final, deverão ser implementados por meio do Programa de Controle de Resíduos.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Durante a fase de obras ocorrerá movimentação de máquinas, equipamentos, ferramentas e materiais, além da manutenção dos canteiros de obras, atividades estas que geram resíduos de diferentes tipos.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O gerenciamento dos resíduos sólidos gerados inicia-se pelos procedimentos repassados a cada um dos trabalhadores, que devem ser devidamente orientados para as diversas ações do programa. Tais orientações devem direcionar a coleta de resíduos, acondicionamento e prováveis medidas de intervenção física nos locais apropriados para o desenvolvimento dos trabalhos de segregação para reciclagem, bem como manutenção das áreas de armazenamento dos resíduos.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Nesse sentido, o Programa de Controle de Resíduos proposto para a instalação do empreendimento, visa a disseminação de informações entre os trabalhadores para que não haja impactos ambientais ou estéticos causados pela disposição inadequada de resíduos.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As fases podem ser resumidas em: separação na fonte (após as possibilidades de redução), acondicionamento, coleta, armazenamento temporário, transporte, tratamento e destinação final. Segue o fluxograma de separação de resíduos:</w:t>
      </w:r>
    </w:p>
    <w:p>
      <w:pPr>
        <w:pStyle w:val="normal1"/>
        <w:widowControl/>
        <w:tabs>
          <w:tab w:val="clear" w:pos="720"/>
          <w:tab w:val="left" w:pos="1245" w:leader="none"/>
        </w:tabs>
        <w:spacing w:lineRule="auto" w:line="360" w:before="0" w:after="160"/>
        <w:jc w:val="center"/>
        <w:rPr>
          <w:rFonts w:ascii="Arial" w:hAnsi="Arial" w:eastAsia="Arial" w:cs="Arial"/>
          <w:i/>
          <w:iCs/>
          <w:sz w:val="24"/>
          <w:szCs w:val="24"/>
        </w:rPr>
      </w:pPr>
      <w:r>
        <w:rPr/>
        <w:drawing>
          <wp:inline distT="0" distB="0" distL="0" distR="0">
            <wp:extent cx="3769995" cy="2921635"/>
            <wp:effectExtent l="0" t="0" r="0" b="0"/>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a:picLocks noChangeAspect="1" noChangeArrowheads="1"/>
                    </pic:cNvPicPr>
                  </pic:nvPicPr>
                  <pic:blipFill>
                    <a:blip r:embed="rId46"/>
                    <a:stretch>
                      <a:fillRect/>
                    </a:stretch>
                  </pic:blipFill>
                  <pic:spPr bwMode="auto">
                    <a:xfrm>
                      <a:off x="0" y="0"/>
                      <a:ext cx="3769995" cy="2921635"/>
                    </a:xfrm>
                    <a:prstGeom prst="rect">
                      <a:avLst/>
                    </a:prstGeom>
                    <a:noFill/>
                  </pic:spPr>
                </pic:pic>
              </a:graphicData>
            </a:graphic>
          </wp:inline>
        </w:drawing>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b/>
          <w:bCs/>
          <w:sz w:val="24"/>
          <w:szCs w:val="24"/>
        </w:rPr>
        <w:t>Instrução dos trabalhadores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Deverão ser realizadas reuniões periódicas para repassar aos trabalhadores noções básicas dos procedimentos de acondicionamento de resíduos, procurando despertar a consciência ambiental dos mesmos para a necessidade de preservação do meio ambiente e saúde pública e da relação dos resíduos sólidos com estas questões.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 xml:space="preserve">O conteúdo também deve abranger a importância do reaproveitamento de materiais, como uma ação que contribui para a conservação de recursos naturais (na medida em que se economizam matérias primas) e minimização de impactos (na medida em que se reduz a quantidade de lixo gerado a ser tratado e disposto). A responsabilidade pela implementação do programa será da </w:t>
      </w:r>
      <w:r>
        <w:rPr>
          <w:rFonts w:eastAsia="Arial" w:cs="Arial" w:ascii="Arial" w:hAnsi="Arial"/>
          <w:b/>
          <w:bCs/>
          <w:sz w:val="24"/>
          <w:szCs w:val="24"/>
        </w:rPr>
        <w:t>CONTRATADA.</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Unidades geradoras de resíduos sólidos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 xml:space="preserve">A geração de resíduos sólidos dos serviços de implantação da OBRA ocorrerá </w:t>
      </w:r>
      <w:r>
        <w:rPr>
          <w:rFonts w:eastAsia="Arial" w:cs="Arial" w:ascii="Arial" w:hAnsi="Arial"/>
          <w:i/>
          <w:iCs/>
          <w:sz w:val="24"/>
          <w:szCs w:val="24"/>
        </w:rPr>
        <w:t>no canteiro de obras e ao longo da extensão da Via</w:t>
      </w:r>
      <w:r>
        <w:rPr>
          <w:rFonts w:eastAsia="Arial" w:cs="Arial" w:ascii="Arial" w:hAnsi="Arial"/>
          <w:sz w:val="24"/>
          <w:szCs w:val="24"/>
        </w:rPr>
        <w:t>. Para o canteiro de obras, a geração de resíduos será proveniente das seguintes unidades: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cozinha e refeitório;</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escritório e almoxarifado</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alojamentos;</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pátio de estacionamento e oficina; e,</w:t>
      </w:r>
    </w:p>
    <w:p>
      <w:pPr>
        <w:pStyle w:val="normal1"/>
        <w:widowControl/>
        <w:spacing w:lineRule="auto" w:line="360"/>
        <w:ind w:firstLine="760"/>
        <w:jc w:val="both"/>
        <w:rPr>
          <w:rFonts w:ascii="Arial" w:hAnsi="Arial" w:eastAsia="Arial" w:cs="Arial"/>
          <w:sz w:val="24"/>
          <w:szCs w:val="24"/>
        </w:rPr>
      </w:pPr>
      <w:r>
        <w:rPr>
          <w:rFonts w:eastAsia="Arial" w:cs="Arial" w:ascii="Arial" w:hAnsi="Arial"/>
          <w:sz w:val="24"/>
          <w:szCs w:val="24"/>
        </w:rPr>
        <w:t>- outros.</w:t>
      </w:r>
    </w:p>
    <w:p>
      <w:pPr>
        <w:pStyle w:val="normal1"/>
        <w:widowControl/>
        <w:spacing w:lineRule="auto" w:line="360" w:before="100" w:after="119"/>
        <w:jc w:val="both"/>
        <w:rPr>
          <w:rFonts w:ascii="Arial" w:hAnsi="Arial" w:eastAsia="Arial" w:cs="Arial"/>
          <w:sz w:val="24"/>
          <w:szCs w:val="24"/>
        </w:rPr>
      </w:pPr>
      <w:r>
        <w:rPr>
          <w:rFonts w:eastAsia="Arial" w:cs="Arial" w:ascii="Arial" w:hAnsi="Arial"/>
          <w:b/>
          <w:bCs/>
          <w:sz w:val="24"/>
          <w:szCs w:val="24"/>
        </w:rPr>
        <w:t>Classificação e estimativa dos resíduos gerados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Os resíduos sólidos dos serviços de implantação da via podem ser  classificados segundo a Resolução CONAMA Nº 307, 5 de julho de 2002 – que estabelece diretrizes, critérios e procedimentos para gestão dos Resíduos sólidos da construção civil, divididos em:</w:t>
      </w:r>
    </w:p>
    <w:p>
      <w:pPr>
        <w:pStyle w:val="normal1"/>
        <w:widowControl/>
        <w:spacing w:lineRule="auto" w:line="360" w:before="0" w:after="160"/>
        <w:jc w:val="both"/>
        <w:rPr>
          <w:rFonts w:ascii="Arial" w:hAnsi="Arial" w:eastAsia="Arial" w:cs="Arial"/>
          <w:sz w:val="24"/>
          <w:szCs w:val="24"/>
        </w:rPr>
      </w:pPr>
      <w:r>
        <w:rPr>
          <w:rFonts w:eastAsia="Arial" w:cs="Arial" w:ascii="Arial" w:hAnsi="Arial"/>
          <w:b/>
          <w:bCs/>
          <w:sz w:val="24"/>
          <w:szCs w:val="24"/>
          <w:u w:val="single"/>
        </w:rPr>
        <w:t>Classe A</w:t>
      </w:r>
      <w:r>
        <w:rPr>
          <w:rFonts w:eastAsia="Arial" w:cs="Arial" w:ascii="Arial" w:hAnsi="Arial"/>
          <w:sz w:val="24"/>
          <w:szCs w:val="24"/>
        </w:rPr>
        <w:t>: são os resíduos reutilizáveis como agregados ou recicláveis, tais como:</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a) de construção, demolição, reformas reparos de pavimentação e de outras obras de infraestrutura, inclusive solos provenientes de terraplanagem;</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b) de construção, demolição, reformas e reparos e edificações: componentes de cerâmicos (tijolos, blocos, telhas, placas de revestimentos, etc.) argamassa de concreto;</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c) de processo de fabricação e/ou demolição de peças pré-moldadas em concreto (blocos, tubos, meios – fios, etc.) produzidas nos canteiros de obras;</w:t>
      </w:r>
    </w:p>
    <w:p>
      <w:pPr>
        <w:pStyle w:val="normal1"/>
        <w:widowControl/>
        <w:spacing w:lineRule="auto" w:line="360" w:before="0" w:after="160"/>
        <w:jc w:val="both"/>
        <w:rPr>
          <w:rFonts w:ascii="Arial" w:hAnsi="Arial" w:eastAsia="Arial" w:cs="Arial"/>
          <w:sz w:val="24"/>
          <w:szCs w:val="24"/>
        </w:rPr>
      </w:pPr>
      <w:r>
        <w:rPr>
          <w:rFonts w:eastAsia="Arial" w:cs="Arial" w:ascii="Arial" w:hAnsi="Arial"/>
          <w:b/>
          <w:bCs/>
          <w:sz w:val="24"/>
          <w:szCs w:val="24"/>
          <w:u w:val="single"/>
        </w:rPr>
        <w:t>Classe B</w:t>
      </w:r>
      <w:r>
        <w:rPr>
          <w:rFonts w:eastAsia="Arial" w:cs="Arial" w:ascii="Arial" w:hAnsi="Arial"/>
          <w:b/>
          <w:bCs/>
          <w:sz w:val="24"/>
          <w:szCs w:val="24"/>
        </w:rPr>
        <w:t>:</w:t>
      </w:r>
      <w:r>
        <w:rPr>
          <w:rFonts w:eastAsia="Arial" w:cs="Arial" w:ascii="Arial" w:hAnsi="Arial"/>
          <w:sz w:val="24"/>
          <w:szCs w:val="24"/>
        </w:rPr>
        <w:t xml:space="preserve"> são resíduos recicláveis para outras destinações, tais como: plásticos, papel/papelão, metais, vidros, madeiras e outros;</w:t>
      </w:r>
    </w:p>
    <w:p>
      <w:pPr>
        <w:pStyle w:val="normal1"/>
        <w:widowControl/>
        <w:spacing w:lineRule="auto" w:line="360" w:before="0" w:after="160"/>
        <w:jc w:val="both"/>
        <w:rPr>
          <w:rFonts w:ascii="Arial" w:hAnsi="Arial" w:eastAsia="Arial" w:cs="Arial"/>
          <w:sz w:val="24"/>
          <w:szCs w:val="24"/>
        </w:rPr>
      </w:pPr>
      <w:r>
        <w:rPr>
          <w:rFonts w:eastAsia="Arial" w:cs="Arial" w:ascii="Arial" w:hAnsi="Arial"/>
          <w:b/>
          <w:bCs/>
          <w:sz w:val="24"/>
          <w:szCs w:val="24"/>
          <w:u w:val="single"/>
        </w:rPr>
        <w:t>Classe C</w:t>
      </w:r>
      <w:r>
        <w:rPr>
          <w:rFonts w:eastAsia="Arial" w:cs="Arial" w:ascii="Arial" w:hAnsi="Arial"/>
          <w:b/>
          <w:bCs/>
          <w:sz w:val="24"/>
          <w:szCs w:val="24"/>
        </w:rPr>
        <w:t>:</w:t>
      </w:r>
      <w:r>
        <w:rPr>
          <w:rFonts w:eastAsia="Arial" w:cs="Arial" w:ascii="Arial" w:hAnsi="Arial"/>
          <w:sz w:val="24"/>
          <w:szCs w:val="24"/>
        </w:rPr>
        <w:t xml:space="preserve"> são aqueles resíduos para os quais não foram desenvolvidas tecnologias ou aplicações economicamente viáveis que permitam a sua reciclagem/recuperação, tais como produtos oriundos de gesso;</w:t>
      </w:r>
    </w:p>
    <w:p>
      <w:pPr>
        <w:pStyle w:val="normal1"/>
        <w:widowControl/>
        <w:spacing w:lineRule="auto" w:line="360" w:before="0" w:after="160"/>
        <w:jc w:val="both"/>
        <w:rPr>
          <w:rFonts w:ascii="Arial" w:hAnsi="Arial" w:eastAsia="Arial" w:cs="Arial"/>
          <w:sz w:val="24"/>
          <w:szCs w:val="24"/>
        </w:rPr>
      </w:pPr>
      <w:r>
        <w:rPr>
          <w:rFonts w:eastAsia="Arial" w:cs="Arial" w:ascii="Arial" w:hAnsi="Arial"/>
          <w:b/>
          <w:bCs/>
          <w:sz w:val="24"/>
          <w:szCs w:val="24"/>
          <w:u w:val="single"/>
        </w:rPr>
        <w:t>Classe D</w:t>
      </w:r>
      <w:r>
        <w:rPr>
          <w:rFonts w:eastAsia="Arial" w:cs="Arial" w:ascii="Arial" w:hAnsi="Arial"/>
          <w:b/>
          <w:bCs/>
          <w:sz w:val="24"/>
          <w:szCs w:val="24"/>
        </w:rPr>
        <w:t>:</w:t>
      </w:r>
      <w:r>
        <w:rPr>
          <w:rFonts w:eastAsia="Arial" w:cs="Arial" w:ascii="Arial" w:hAnsi="Arial"/>
          <w:sz w:val="24"/>
          <w:szCs w:val="24"/>
        </w:rPr>
        <w:t xml:space="preserve"> são os resíduos perigosos, correspondentes aqueles oriundos de construção, tais como: tintas, solventes, óleos e outros.</w:t>
      </w:r>
    </w:p>
    <w:p>
      <w:pPr>
        <w:pStyle w:val="normal1"/>
        <w:widowControl/>
        <w:numPr>
          <w:ilvl w:val="3"/>
          <w:numId w:val="22"/>
        </w:numPr>
        <w:spacing w:lineRule="auto" w:line="252" w:before="0" w:after="160"/>
        <w:jc w:val="both"/>
        <w:rPr>
          <w:rFonts w:ascii="Arial" w:hAnsi="Arial" w:eastAsia="Arial" w:cs="Arial"/>
          <w:sz w:val="24"/>
          <w:szCs w:val="24"/>
        </w:rPr>
      </w:pPr>
      <w:r>
        <w:rPr>
          <w:rFonts w:eastAsia="Arial" w:cs="Arial" w:ascii="Arial" w:hAnsi="Arial"/>
          <w:sz w:val="24"/>
          <w:szCs w:val="24"/>
        </w:rPr>
        <w:t>Procedimentos de manuseio e formas de acondicionamento dos resíduos</w:t>
      </w:r>
    </w:p>
    <w:p>
      <w:pPr>
        <w:pStyle w:val="normal1"/>
        <w:widowControl/>
        <w:spacing w:lineRule="auto" w:line="360" w:before="100" w:after="119"/>
        <w:ind w:firstLine="760"/>
        <w:jc w:val="both"/>
        <w:rPr>
          <w:rFonts w:ascii="Arial" w:hAnsi="Arial" w:eastAsia="Arial" w:cs="Arial"/>
          <w:sz w:val="24"/>
          <w:szCs w:val="24"/>
        </w:rPr>
      </w:pPr>
      <w:r>
        <w:rPr>
          <w:rFonts w:eastAsia="Arial" w:cs="Arial" w:ascii="Arial" w:hAnsi="Arial"/>
          <w:sz w:val="24"/>
          <w:szCs w:val="24"/>
        </w:rPr>
        <w:t>Os resíduos gerados na implantação das obras serão de diferentes tipos e, consequentemente, terão manuseio, e acondicionamento específicos, quais sejam:</w:t>
      </w:r>
    </w:p>
    <w:p>
      <w:pPr>
        <w:pStyle w:val="normal1"/>
        <w:widowControl/>
        <w:numPr>
          <w:ilvl w:val="0"/>
          <w:numId w:val="7"/>
        </w:numPr>
        <w:spacing w:lineRule="auto" w:line="360"/>
        <w:rPr>
          <w:rFonts w:ascii="Arial" w:hAnsi="Arial" w:eastAsia="Arial" w:cs="Arial"/>
          <w:sz w:val="24"/>
          <w:szCs w:val="24"/>
        </w:rPr>
      </w:pPr>
      <w:r>
        <w:rPr>
          <w:rFonts w:eastAsia="Arial" w:cs="Arial" w:ascii="Arial" w:hAnsi="Arial"/>
          <w:b/>
          <w:bCs/>
          <w:sz w:val="24"/>
          <w:szCs w:val="24"/>
        </w:rPr>
        <w:t>Ao longo da implantação da rodovia/Obra</w:t>
      </w:r>
    </w:p>
    <w:p>
      <w:pPr>
        <w:pStyle w:val="normal1"/>
        <w:widowControl/>
        <w:spacing w:lineRule="auto" w:line="360" w:before="0" w:after="227"/>
        <w:rPr>
          <w:rFonts w:ascii="Arial" w:hAnsi="Arial" w:eastAsia="Arial" w:cs="Arial"/>
          <w:sz w:val="24"/>
          <w:szCs w:val="24"/>
        </w:rPr>
      </w:pPr>
      <w:r>
        <w:rPr>
          <w:rFonts w:eastAsia="Arial" w:cs="Arial" w:ascii="Arial" w:hAnsi="Arial"/>
          <w:sz w:val="24"/>
          <w:szCs w:val="24"/>
        </w:rPr>
        <w:t>Os resíduos gerados ao longo da rodovia/obra durante a implantação das mesmas deverão ter os seguintes procedimentos:</w:t>
      </w:r>
    </w:p>
    <w:p>
      <w:pPr>
        <w:pStyle w:val="normal1"/>
        <w:widowControl/>
        <w:spacing w:lineRule="auto" w:line="360" w:before="0" w:after="160"/>
        <w:jc w:val="both"/>
        <w:rPr>
          <w:rFonts w:ascii="Arial" w:hAnsi="Arial" w:eastAsia="Arial" w:cs="Arial"/>
          <w:sz w:val="24"/>
          <w:szCs w:val="24"/>
        </w:rPr>
      </w:pPr>
      <w:r>
        <w:rPr>
          <w:rFonts w:eastAsia="Arial" w:cs="Arial" w:ascii="Arial" w:hAnsi="Arial"/>
          <w:i/>
          <w:iCs/>
          <w:sz w:val="24"/>
          <w:szCs w:val="24"/>
          <w:u w:val="single"/>
        </w:rPr>
        <w:t xml:space="preserve">Resíduos de classe A </w:t>
      </w:r>
      <w:r>
        <w:rPr>
          <w:rFonts w:eastAsia="Arial" w:cs="Arial" w:ascii="Arial" w:hAnsi="Arial"/>
          <w:sz w:val="24"/>
          <w:szCs w:val="24"/>
        </w:rPr>
        <w:t xml:space="preserve">- Todos os resíduos gerados deverão ser acondicionados em caixas </w:t>
      </w:r>
      <w:r>
        <w:rPr>
          <w:rFonts w:eastAsia="Arial" w:cs="Arial" w:ascii="Arial" w:hAnsi="Arial"/>
          <w:i/>
          <w:iCs/>
          <w:sz w:val="24"/>
          <w:szCs w:val="24"/>
        </w:rPr>
        <w:t>broocks</w:t>
      </w:r>
      <w:r>
        <w:rPr>
          <w:rFonts w:eastAsia="Arial" w:cs="Arial" w:ascii="Arial" w:hAnsi="Arial"/>
          <w:sz w:val="24"/>
          <w:szCs w:val="24"/>
        </w:rPr>
        <w:t>, sendo as caixas locadas conforme as frentes de obras, ou seja, durante as etapas das obras é que surgirá a necessidade do local e número de caixas a serem implantadas. A coleta e transporte deverá ser realizada por empresa especializada em coleta de entulhos, as coletas deverão ser feitas de acordo com as necessidades de frente de serviços, sempre que as caixas estiverem cheias a empresa deverá ser acionadas para coleta das mesmas e colocação de uma nova caixa no local.</w:t>
      </w:r>
    </w:p>
    <w:p>
      <w:pPr>
        <w:pStyle w:val="normal1"/>
        <w:widowControl/>
        <w:spacing w:lineRule="auto" w:line="360" w:before="0" w:after="160"/>
        <w:jc w:val="both"/>
        <w:rPr>
          <w:rFonts w:ascii="Arial" w:hAnsi="Arial" w:eastAsia="Arial" w:cs="Arial"/>
          <w:sz w:val="24"/>
          <w:szCs w:val="24"/>
        </w:rPr>
      </w:pPr>
      <w:r>
        <w:rPr>
          <w:rFonts w:eastAsia="Arial" w:cs="Arial" w:ascii="Arial" w:hAnsi="Arial"/>
          <w:i/>
          <w:iCs/>
          <w:sz w:val="24"/>
          <w:szCs w:val="24"/>
          <w:u w:val="single"/>
        </w:rPr>
        <w:t>Resíduos de classe B</w:t>
      </w:r>
      <w:r>
        <w:rPr>
          <w:rFonts w:eastAsia="Arial" w:cs="Arial" w:ascii="Arial" w:hAnsi="Arial"/>
          <w:sz w:val="24"/>
          <w:szCs w:val="24"/>
        </w:rPr>
        <w:t xml:space="preserve"> - Todos os resíduos recicláveis ou orgânicos gerados deverão ser acondicionados separadamente em sacos plásticos e encaminhados no final do turno de trabalho para os contentores das cores respectivas, instalados no canteiro de obra.</w:t>
      </w:r>
    </w:p>
    <w:p>
      <w:pPr>
        <w:pStyle w:val="normal1"/>
        <w:widowControl/>
        <w:spacing w:lineRule="auto" w:line="360" w:before="0" w:after="160"/>
        <w:jc w:val="both"/>
        <w:rPr>
          <w:rFonts w:ascii="Arial" w:hAnsi="Arial" w:eastAsia="Arial" w:cs="Arial"/>
          <w:sz w:val="24"/>
          <w:szCs w:val="24"/>
        </w:rPr>
      </w:pPr>
      <w:r>
        <w:rPr>
          <w:rFonts w:eastAsia="Arial" w:cs="Arial" w:ascii="Arial" w:hAnsi="Arial"/>
          <w:i/>
          <w:iCs/>
          <w:sz w:val="24"/>
          <w:szCs w:val="24"/>
          <w:u w:val="single"/>
        </w:rPr>
        <w:t>Resíduos de classe D</w:t>
      </w:r>
      <w:r>
        <w:rPr>
          <w:rFonts w:eastAsia="Arial" w:cs="Arial" w:ascii="Arial" w:hAnsi="Arial"/>
          <w:sz w:val="24"/>
          <w:szCs w:val="24"/>
        </w:rPr>
        <w:t xml:space="preserve"> – Todos os resíduos como embalagens de lubrificantes ou fluidos deverão ser acondicionados em sacos plásticos e encaminhados no final do turno de trabalho para o contentor da cor laranja instalado no canteiro de obra.</w:t>
      </w:r>
    </w:p>
    <w:p>
      <w:pPr>
        <w:pStyle w:val="normal1"/>
        <w:widowControl/>
        <w:numPr>
          <w:ilvl w:val="3"/>
          <w:numId w:val="22"/>
        </w:numPr>
        <w:spacing w:lineRule="auto" w:line="360" w:before="0" w:after="160"/>
        <w:jc w:val="both"/>
        <w:rPr>
          <w:rFonts w:ascii="Arial" w:hAnsi="Arial" w:eastAsia="Arial" w:cs="Arial"/>
          <w:sz w:val="24"/>
          <w:szCs w:val="24"/>
        </w:rPr>
      </w:pPr>
      <w:r>
        <w:rPr>
          <w:rFonts w:eastAsia="Arial" w:cs="Arial" w:ascii="Arial" w:hAnsi="Arial"/>
          <w:b/>
          <w:bCs/>
          <w:sz w:val="24"/>
          <w:szCs w:val="24"/>
        </w:rPr>
        <w:t>Responsabilidades e competências do Plano de Controle de Resíduos</w:t>
      </w:r>
    </w:p>
    <w:p>
      <w:pPr>
        <w:pStyle w:val="normal1"/>
        <w:widowControl/>
        <w:spacing w:lineRule="auto" w:line="360" w:before="0" w:after="160"/>
        <w:jc w:val="both"/>
        <w:rPr>
          <w:rFonts w:ascii="Arial" w:hAnsi="Arial" w:eastAsia="Arial" w:cs="Arial"/>
          <w:sz w:val="24"/>
          <w:szCs w:val="24"/>
        </w:rPr>
      </w:pPr>
      <w:r>
        <w:rPr>
          <w:rFonts w:eastAsia="Arial" w:cs="Arial" w:ascii="Arial" w:hAnsi="Arial"/>
          <w:sz w:val="24"/>
          <w:szCs w:val="24"/>
        </w:rPr>
        <w:t xml:space="preserve">A implantação, aplicação, monitoramento e gerenciamento do </w:t>
      </w:r>
      <w:r>
        <w:rPr>
          <w:rFonts w:eastAsia="Arial" w:cs="Arial" w:ascii="Arial" w:hAnsi="Arial"/>
          <w:i/>
          <w:iCs/>
          <w:sz w:val="24"/>
          <w:szCs w:val="24"/>
        </w:rPr>
        <w:t>PCR (Plano de Controle de Resíduos)</w:t>
      </w:r>
      <w:r>
        <w:rPr>
          <w:rFonts w:eastAsia="Arial" w:cs="Arial" w:ascii="Arial" w:hAnsi="Arial"/>
          <w:sz w:val="24"/>
          <w:szCs w:val="24"/>
        </w:rPr>
        <w:t xml:space="preserve"> será de responsabilidade da CONTRATADA para execução das obras.</w:t>
      </w:r>
    </w:p>
    <w:p>
      <w:pPr>
        <w:pStyle w:val="normal1"/>
        <w:widowControl/>
        <w:numPr>
          <w:ilvl w:val="3"/>
          <w:numId w:val="22"/>
        </w:numPr>
        <w:spacing w:lineRule="auto" w:line="360" w:before="0" w:after="160"/>
        <w:rPr>
          <w:rFonts w:ascii="Arial" w:hAnsi="Arial" w:eastAsia="Arial" w:cs="Arial"/>
          <w:sz w:val="24"/>
          <w:szCs w:val="24"/>
        </w:rPr>
      </w:pPr>
      <w:r>
        <w:rPr>
          <w:rFonts w:eastAsia="Arial" w:cs="Arial" w:ascii="Arial" w:hAnsi="Arial"/>
          <w:sz w:val="24"/>
          <w:szCs w:val="24"/>
        </w:rPr>
        <w:t>Parcerias potenciais</w:t>
      </w:r>
    </w:p>
    <w:p>
      <w:pPr>
        <w:pStyle w:val="normal1"/>
        <w:widowControl/>
        <w:numPr>
          <w:ilvl w:val="0"/>
          <w:numId w:val="32"/>
        </w:numPr>
        <w:spacing w:lineRule="auto" w:line="360"/>
        <w:ind w:firstLine="586" w:start="729"/>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Prefeituras Municipais;</w:t>
      </w:r>
    </w:p>
    <w:p>
      <w:pPr>
        <w:pStyle w:val="normal1"/>
        <w:widowControl/>
        <w:numPr>
          <w:ilvl w:val="0"/>
          <w:numId w:val="32"/>
        </w:numPr>
        <w:spacing w:lineRule="auto" w:line="360"/>
        <w:ind w:firstLine="586" w:start="729"/>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Empresas operadoras de aterros sanitários e industriais;</w:t>
      </w:r>
    </w:p>
    <w:p>
      <w:pPr>
        <w:pStyle w:val="normal1"/>
        <w:widowControl/>
        <w:numPr>
          <w:ilvl w:val="0"/>
          <w:numId w:val="32"/>
        </w:numPr>
        <w:spacing w:lineRule="auto" w:line="360"/>
        <w:ind w:firstLine="586" w:start="729"/>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Companhia de limpeza urbana; e,</w:t>
      </w:r>
    </w:p>
    <w:p>
      <w:pPr>
        <w:pStyle w:val="normal1"/>
        <w:widowControl/>
        <w:numPr>
          <w:ilvl w:val="0"/>
          <w:numId w:val="32"/>
        </w:numPr>
        <w:spacing w:lineRule="auto" w:line="360"/>
        <w:ind w:firstLine="586" w:start="729"/>
        <w:rPr>
          <w:rFonts w:ascii="Arial" w:hAnsi="Arial" w:eastAsia="Arial" w:cs="Arial"/>
          <w:sz w:val="24"/>
          <w:szCs w:val="24"/>
        </w:rPr>
      </w:pPr>
      <w:r>
        <w:rPr>
          <w:rFonts w:eastAsia="Arial" w:cs="Arial" w:ascii="Arial" w:hAnsi="Arial"/>
          <w:sz w:val="24"/>
          <w:szCs w:val="24"/>
        </w:rPr>
        <w:t xml:space="preserve"> </w:t>
      </w:r>
      <w:r>
        <w:rPr>
          <w:rFonts w:eastAsia="Arial" w:cs="Arial" w:ascii="Arial" w:hAnsi="Arial"/>
          <w:sz w:val="24"/>
          <w:szCs w:val="24"/>
        </w:rPr>
        <w:t>Organizações não-governamentais.</w:t>
      </w:r>
    </w:p>
    <w:p>
      <w:pPr>
        <w:pStyle w:val="normal1"/>
        <w:widowControl/>
        <w:spacing w:lineRule="auto" w:line="360"/>
        <w:ind w:hanging="0" w:start="897"/>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Programa de Gerenciamento de ruídos e Vibrações</w:t>
      </w:r>
    </w:p>
    <w:p>
      <w:pPr>
        <w:pStyle w:val="normal1"/>
        <w:widowControl/>
        <w:spacing w:lineRule="auto" w:line="360" w:before="0" w:after="160"/>
        <w:ind w:firstLine="709"/>
        <w:jc w:val="both"/>
        <w:rPr>
          <w:rFonts w:ascii="Arial" w:hAnsi="Arial" w:eastAsia="Arial" w:cs="Arial"/>
          <w:sz w:val="24"/>
          <w:szCs w:val="24"/>
        </w:rPr>
      </w:pPr>
      <w:r>
        <w:rPr>
          <w:rFonts w:eastAsia="Arial" w:cs="Arial" w:ascii="Arial" w:hAnsi="Arial"/>
          <w:sz w:val="24"/>
          <w:szCs w:val="24"/>
        </w:rPr>
        <w:t xml:space="preserve">O ruído caracteriza-se como um som desagradável e indesejável, ou como um estímulo que não contém informações úteis à tarefa em execução. Portanto, o som passa a ser considerado ruído quando causa ao homem a sensação de desconforto e mal-estar, afetando a saúde e produtividade. Este fato está diretamente relacionado a fatores como distância da fonte sonora, duração do som e intensidade do som, além de características individuais de cada pessoa, como sensibilidade auditiva e concentração. </w:t>
      </w:r>
    </w:p>
    <w:p>
      <w:pPr>
        <w:pStyle w:val="normal1"/>
        <w:widowControl/>
        <w:spacing w:lineRule="auto" w:line="360" w:before="0" w:after="160"/>
        <w:ind w:firstLine="709"/>
        <w:jc w:val="both"/>
        <w:rPr>
          <w:rFonts w:ascii="Arial" w:hAnsi="Arial" w:eastAsia="Arial" w:cs="Arial"/>
          <w:sz w:val="24"/>
          <w:szCs w:val="24"/>
        </w:rPr>
      </w:pPr>
      <w:r>
        <w:rPr>
          <w:rFonts w:eastAsia="Arial" w:cs="Arial" w:ascii="Arial" w:hAnsi="Arial"/>
          <w:sz w:val="24"/>
          <w:szCs w:val="24"/>
        </w:rPr>
        <w:t>A poluição sonora apresenta reflexos em todo o organismo e não apenas no aparelho auditivo. Os ruídos podem causar vários distúrbios como alterações do humor, insônia, alterações cardiovasculares, diminuição da capacidade de concentração e, em casos extremos, perda auditiva.</w:t>
      </w:r>
    </w:p>
    <w:p>
      <w:pPr>
        <w:pStyle w:val="normal1"/>
        <w:widowControl/>
        <w:spacing w:lineRule="auto" w:line="360" w:before="0" w:after="160"/>
        <w:ind w:firstLine="709"/>
        <w:jc w:val="both"/>
        <w:rPr>
          <w:rFonts w:ascii="Arial" w:hAnsi="Arial" w:eastAsia="Arial" w:cs="Arial"/>
          <w:sz w:val="24"/>
          <w:szCs w:val="24"/>
        </w:rPr>
      </w:pPr>
      <w:r>
        <w:rPr>
          <w:rFonts w:eastAsia="Arial" w:cs="Arial" w:ascii="Arial" w:hAnsi="Arial"/>
          <w:sz w:val="24"/>
          <w:szCs w:val="24"/>
        </w:rPr>
        <w:t>Pelo tipo de obra e por sua localização junto a um núcleo de moradores, durante a fase de implantação, a operação de máquinas e equipamentos poderá representar algum prejuízo às condições de conforto acústico da comunidade do entorno e dos funcionários do empreendimento. Tráfego de caminhões, operações com veículos e equipamentos pesados para movimentação do solo e colocação das fundações são atividades geradoras de ruídos previstas para a fase de implantação do empreendimento.</w:t>
      </w:r>
    </w:p>
    <w:p>
      <w:pPr>
        <w:pStyle w:val="normal1"/>
        <w:widowControl/>
        <w:spacing w:lineRule="auto" w:line="360" w:before="0" w:after="160"/>
        <w:ind w:firstLine="709"/>
        <w:rPr>
          <w:rFonts w:ascii="Arial" w:hAnsi="Arial" w:eastAsia="Arial" w:cs="Arial"/>
          <w:sz w:val="24"/>
          <w:szCs w:val="24"/>
        </w:rPr>
      </w:pPr>
      <w:r>
        <w:rPr>
          <w:rFonts w:eastAsia="Arial" w:cs="Arial" w:ascii="Arial" w:hAnsi="Arial"/>
          <w:sz w:val="24"/>
          <w:szCs w:val="24"/>
        </w:rPr>
        <w:t>Ainda que este impacto seja classificado como de pequena intensidade e de caráter imediatista, são sugeridas medidas para sua prevenção ou atenuação:</w:t>
      </w:r>
    </w:p>
    <w:p>
      <w:pPr>
        <w:pStyle w:val="normal1"/>
        <w:widowControl/>
        <w:numPr>
          <w:ilvl w:val="0"/>
          <w:numId w:val="4"/>
        </w:numPr>
        <w:spacing w:lineRule="auto" w:line="360"/>
        <w:ind w:hanging="360" w:start="1429"/>
        <w:jc w:val="both"/>
        <w:rPr>
          <w:rFonts w:ascii="Arial" w:hAnsi="Arial" w:eastAsia="Arial" w:cs="Arial"/>
          <w:sz w:val="24"/>
          <w:szCs w:val="24"/>
        </w:rPr>
      </w:pPr>
      <w:r>
        <w:rPr>
          <w:rFonts w:eastAsia="Arial" w:cs="Arial" w:ascii="Arial" w:hAnsi="Arial"/>
          <w:sz w:val="24"/>
          <w:szCs w:val="24"/>
        </w:rPr>
        <w:t>Todas as atividades que porventura venham a gerar ruídos excessivos e causar transtorno à população do entorno, deverão ter seu horário limitado ao período compreendido entre 7h e 18h;</w:t>
      </w:r>
    </w:p>
    <w:p>
      <w:pPr>
        <w:pStyle w:val="normal1"/>
        <w:widowControl/>
        <w:numPr>
          <w:ilvl w:val="0"/>
          <w:numId w:val="4"/>
        </w:numPr>
        <w:spacing w:lineRule="auto" w:line="360"/>
        <w:ind w:hanging="360" w:start="1429"/>
        <w:jc w:val="both"/>
        <w:rPr>
          <w:rFonts w:ascii="Arial" w:hAnsi="Arial" w:eastAsia="Arial" w:cs="Arial"/>
          <w:sz w:val="24"/>
          <w:szCs w:val="24"/>
        </w:rPr>
      </w:pPr>
      <w:r>
        <w:rPr>
          <w:rFonts w:eastAsia="Arial" w:cs="Arial" w:ascii="Arial" w:hAnsi="Arial"/>
          <w:sz w:val="24"/>
          <w:szCs w:val="24"/>
        </w:rPr>
        <w:t>Todas atividades geradoras de ruídos deverão obedecer ao Decreto Estadual (SC) 14.250/1981 e a NBR 10.151, que limita o nível de ruído aceitável;</w:t>
      </w:r>
    </w:p>
    <w:p>
      <w:pPr>
        <w:pStyle w:val="normal1"/>
        <w:widowControl/>
        <w:numPr>
          <w:ilvl w:val="0"/>
          <w:numId w:val="4"/>
        </w:numPr>
        <w:spacing w:lineRule="auto" w:line="360"/>
        <w:ind w:hanging="360" w:start="1429"/>
        <w:jc w:val="both"/>
        <w:rPr>
          <w:rFonts w:ascii="Arial" w:hAnsi="Arial" w:eastAsia="Arial" w:cs="Arial"/>
          <w:sz w:val="24"/>
          <w:szCs w:val="24"/>
        </w:rPr>
      </w:pPr>
      <w:r>
        <w:rPr>
          <w:rFonts w:eastAsia="Arial" w:cs="Arial" w:ascii="Arial" w:hAnsi="Arial"/>
          <w:sz w:val="24"/>
          <w:szCs w:val="24"/>
        </w:rPr>
        <w:t>Os equipamentos empregados na obra deverão passar por rigoroso controle e manutenção, devendo ser observados os dispositivos responsáveis pela atenuação dos ruídos produzidos;</w:t>
      </w:r>
    </w:p>
    <w:p>
      <w:pPr>
        <w:pStyle w:val="normal1"/>
        <w:widowControl/>
        <w:numPr>
          <w:ilvl w:val="0"/>
          <w:numId w:val="4"/>
        </w:numPr>
        <w:spacing w:lineRule="auto" w:line="360"/>
        <w:ind w:hanging="360" w:start="1429"/>
        <w:jc w:val="both"/>
        <w:rPr>
          <w:rFonts w:ascii="Arial" w:hAnsi="Arial" w:eastAsia="Arial" w:cs="Arial"/>
          <w:sz w:val="24"/>
          <w:szCs w:val="24"/>
        </w:rPr>
      </w:pPr>
      <w:r>
        <w:rPr>
          <w:rFonts w:eastAsia="Arial" w:cs="Arial" w:ascii="Arial" w:hAnsi="Arial"/>
          <w:sz w:val="24"/>
          <w:szCs w:val="24"/>
        </w:rPr>
        <w:t>Exigir dos funcionários vinculados às obras a utilização de equipamentos de proteção individual (protetores auriculares tipo concha ou similar), quando estiverem em contato com equipamentos de emissão sonora, respeitando a legislação trabalhista; e</w:t>
      </w:r>
    </w:p>
    <w:p>
      <w:pPr>
        <w:pStyle w:val="normal1"/>
        <w:widowControl/>
        <w:numPr>
          <w:ilvl w:val="0"/>
          <w:numId w:val="4"/>
        </w:numPr>
        <w:spacing w:lineRule="auto" w:line="360"/>
        <w:ind w:hanging="360" w:start="1429"/>
        <w:jc w:val="both"/>
        <w:rPr>
          <w:rFonts w:ascii="Arial" w:hAnsi="Arial" w:eastAsia="Arial" w:cs="Arial"/>
          <w:sz w:val="24"/>
          <w:szCs w:val="24"/>
        </w:rPr>
      </w:pPr>
      <w:r>
        <w:rPr>
          <w:rFonts w:eastAsia="Arial" w:cs="Arial" w:ascii="Arial" w:hAnsi="Arial"/>
          <w:sz w:val="24"/>
          <w:szCs w:val="24"/>
        </w:rPr>
        <w:t>O empreendedor deverá manter, conforme prevê a legislação específica NBR 10.151 e NBR 10.152, um programa de controle de emissão de ruídos, com amostragens periódicas das condições ambientais.</w:t>
      </w:r>
    </w:p>
    <w:p>
      <w:pPr>
        <w:pStyle w:val="normal1"/>
        <w:widowControl/>
        <w:spacing w:lineRule="auto" w:line="360"/>
        <w:ind w:hanging="0" w:start="1429"/>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Programa de Segurança no Trabalho</w:t>
      </w:r>
    </w:p>
    <w:p>
      <w:pPr>
        <w:pStyle w:val="normal1"/>
        <w:widowControl/>
        <w:spacing w:lineRule="auto" w:line="360" w:before="0" w:after="160"/>
        <w:ind w:firstLine="709"/>
        <w:jc w:val="both"/>
        <w:rPr>
          <w:rFonts w:ascii="Arial" w:hAnsi="Arial" w:eastAsia="Arial" w:cs="Arial"/>
          <w:sz w:val="24"/>
          <w:szCs w:val="24"/>
        </w:rPr>
      </w:pPr>
      <w:r>
        <w:rPr>
          <w:rFonts w:eastAsia="Arial" w:cs="Arial" w:ascii="Arial" w:hAnsi="Arial"/>
          <w:sz w:val="24"/>
          <w:szCs w:val="24"/>
        </w:rPr>
        <w:t>Os riscos de acidentes operacionais na fase de implantação estão relacionados com os aspectos de atração de pessoas, geração de empregos e aumento do tráfego de veículos. Estes estão relacionados com as ações de mobilização de mão-de-obra, manutenção das instalações do empreendimento e construção civil como um todo.</w:t>
      </w:r>
    </w:p>
    <w:p>
      <w:pPr>
        <w:pStyle w:val="normal1"/>
        <w:widowControl/>
        <w:spacing w:lineRule="auto" w:line="360" w:before="0" w:after="160"/>
        <w:ind w:firstLine="709"/>
        <w:jc w:val="both"/>
        <w:rPr>
          <w:rFonts w:ascii="Arial" w:hAnsi="Arial" w:eastAsia="Arial" w:cs="Arial"/>
          <w:sz w:val="24"/>
          <w:szCs w:val="24"/>
        </w:rPr>
      </w:pPr>
      <w:r>
        <w:rPr>
          <w:rFonts w:eastAsia="Arial" w:cs="Arial" w:ascii="Arial" w:hAnsi="Arial"/>
          <w:sz w:val="24"/>
          <w:szCs w:val="24"/>
        </w:rPr>
        <w:t xml:space="preserve">Na implantação e operação de empreendimentos desta natureza, a probabilidade de ocorrência de danos é baixa quando adotadas medidas preventivas apropriadas e, por conta disso, suas consequências são pouco significativas. </w:t>
      </w:r>
    </w:p>
    <w:p>
      <w:pPr>
        <w:pStyle w:val="normal1"/>
        <w:widowControl/>
        <w:spacing w:lineRule="auto" w:line="360" w:before="0" w:after="160"/>
        <w:ind w:firstLine="709"/>
        <w:jc w:val="both"/>
        <w:rPr>
          <w:rFonts w:ascii="Arial" w:hAnsi="Arial" w:eastAsia="Arial" w:cs="Arial"/>
          <w:sz w:val="24"/>
          <w:szCs w:val="24"/>
        </w:rPr>
      </w:pPr>
      <w:r>
        <w:rPr>
          <w:rFonts w:eastAsia="Arial" w:cs="Arial" w:ascii="Arial" w:hAnsi="Arial"/>
          <w:sz w:val="24"/>
          <w:szCs w:val="24"/>
        </w:rPr>
        <w:t>As principais questões que serão prevenidas têm relação com quedas e lesões, assim como com o armazenamento e transporte de produtos químicos tóxicos e/ou inflamáveis e acidentes com maquinários. Dentre as medidas iniciais, propõe-se:</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Conforme prevê a NBR 14.725/2001, recomenda-se à elaboração de uma Ficha de Informações de Segurança de Produtos Químicos - FISPQ, que fornece informações sobre vários aspectos desses produtos químicos (substâncias ou preparos) quanto à proteção, à segurança, à saúde e ao meio ambiente. A FISPQ apresenta, para esses aspectos, conhecimentos básicos sobre os produtos químicos, recomendações sobre medidas de proteção e ações em situações de emergência. Todos estes procedimentos contribuiriam substancialmente para reduzir os riscos de acidentes com a mão de obra empregada na implantação do empreendimento e, além disso, serviriam como medida acessória na redução de impactos sobre o equilíbrio da fauna;</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Estabelecer procedimentos operacionais para a manipulação e armazenamento de produtos voláteis, de tal maneira que tais substâncias sejam sempre conservadas em recipientes fechados, reduzindo sua dispersão no ambiente;</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Todos os produtos químicos perigosos deverão levar também uma etiqueta de fácil compreensão para os trabalhadores, que facilite informação essencial sobre sua classificação, os perigos que envolvem e as precauções de segurança que devam ser observadas;</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Estabelecer em cláusula contratual com as empreiteiras selecionadas para as obras, a exigência do Programa de Gerenciamento de Riscos (PGR) e Gerenciamento de Riscos Operacionais (GRO).</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Zelar pela manutenção dos equipamentos de trabalho e pelo bem-estar dos colaboradores;</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Conscientizar motoristas e operadores de maquinário sobre corretas medidas de operação; e</w:t>
      </w:r>
    </w:p>
    <w:p>
      <w:pPr>
        <w:pStyle w:val="normal1"/>
        <w:widowControl/>
        <w:numPr>
          <w:ilvl w:val="0"/>
          <w:numId w:val="4"/>
        </w:numPr>
        <w:spacing w:lineRule="auto" w:line="360"/>
        <w:ind w:hanging="426" w:start="993"/>
        <w:jc w:val="both"/>
        <w:rPr>
          <w:rFonts w:ascii="Arial" w:hAnsi="Arial" w:eastAsia="Arial" w:cs="Arial"/>
          <w:sz w:val="24"/>
          <w:szCs w:val="24"/>
        </w:rPr>
      </w:pPr>
      <w:r>
        <w:rPr>
          <w:rFonts w:eastAsia="Arial" w:cs="Arial" w:ascii="Arial" w:hAnsi="Arial"/>
          <w:sz w:val="24"/>
          <w:szCs w:val="24"/>
        </w:rPr>
        <w:t>Empregar equipamentos de proteção coletiva, tais como placas e faixas de sinalização, alertando para os pontos mais perigosos e para os riscos envolvidos.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Programa de Controle dos Efluentes Sanitários</w:t>
      </w:r>
    </w:p>
    <w:p>
      <w:pPr>
        <w:pStyle w:val="normal1"/>
        <w:widowControl/>
        <w:spacing w:lineRule="auto" w:line="360" w:before="0" w:after="160"/>
        <w:ind w:firstLine="360"/>
        <w:jc w:val="both"/>
        <w:rPr>
          <w:rFonts w:ascii="Arial" w:hAnsi="Arial" w:eastAsia="Arial" w:cs="Arial"/>
          <w:sz w:val="24"/>
          <w:szCs w:val="24"/>
        </w:rPr>
      </w:pPr>
      <w:r>
        <w:rPr>
          <w:rFonts w:eastAsia="Arial" w:cs="Arial" w:ascii="Arial" w:hAnsi="Arial"/>
          <w:sz w:val="24"/>
          <w:szCs w:val="24"/>
        </w:rPr>
        <w:t>O programa de controle de efluentes se faz necessário a fim de não causarem possíveis impactos nas águas superficiais e ou subterrâneas bem como no mar em questão.</w:t>
      </w:r>
    </w:p>
    <w:p>
      <w:pPr>
        <w:pStyle w:val="normal1"/>
        <w:widowControl/>
        <w:spacing w:lineRule="auto" w:line="360" w:before="0" w:after="160"/>
        <w:ind w:firstLine="360"/>
        <w:jc w:val="both"/>
        <w:rPr>
          <w:rFonts w:ascii="Arial" w:hAnsi="Arial" w:eastAsia="Arial" w:cs="Arial"/>
          <w:sz w:val="24"/>
          <w:szCs w:val="24"/>
        </w:rPr>
      </w:pPr>
      <w:r>
        <w:rPr>
          <w:rFonts w:eastAsia="Arial" w:cs="Arial" w:ascii="Arial" w:hAnsi="Arial"/>
          <w:sz w:val="24"/>
          <w:szCs w:val="24"/>
        </w:rPr>
        <w:t>Sendo assim o controle e tratamento dos mesmos deverá ser realizado pela Contratada.</w:t>
      </w:r>
    </w:p>
    <w:p>
      <w:pPr>
        <w:pStyle w:val="normal1"/>
        <w:widowControl/>
        <w:spacing w:lineRule="auto" w:line="360" w:before="0" w:after="160"/>
        <w:ind w:firstLine="360"/>
        <w:jc w:val="both"/>
        <w:rPr>
          <w:rFonts w:ascii="Arial" w:hAnsi="Arial" w:eastAsia="Arial" w:cs="Arial"/>
          <w:sz w:val="24"/>
          <w:szCs w:val="24"/>
        </w:rPr>
      </w:pPr>
      <w:r>
        <w:rPr>
          <w:rFonts w:eastAsia="Arial" w:cs="Arial" w:ascii="Arial" w:hAnsi="Arial"/>
          <w:sz w:val="24"/>
          <w:szCs w:val="24"/>
        </w:rPr>
        <w:t>A empresa contratada devera disponibilizar, monitorar e manter banheiros químicos aos trabalhadores, a fim de que os mesmos possam ser utilizados quando necessário. Deverão estar disponíveis em número suficiente para atender a quantidade de operários envolvidos nas frentes de obra.</w:t>
      </w:r>
    </w:p>
    <w:p>
      <w:pPr>
        <w:pStyle w:val="normal1"/>
        <w:widowControl/>
        <w:tabs>
          <w:tab w:val="clear" w:pos="720"/>
          <w:tab w:val="left" w:pos="1245" w:leader="none"/>
        </w:tabs>
        <w:spacing w:lineRule="auto" w:line="360" w:before="0" w:after="160"/>
        <w:ind w:firstLine="360"/>
        <w:jc w:val="both"/>
        <w:rPr>
          <w:rFonts w:ascii="Arial" w:hAnsi="Arial" w:eastAsia="Arial" w:cs="Arial"/>
          <w:sz w:val="24"/>
          <w:szCs w:val="24"/>
        </w:rPr>
      </w:pPr>
      <w:r>
        <w:rPr>
          <w:rFonts w:eastAsia="Arial" w:cs="Arial" w:ascii="Arial" w:hAnsi="Arial"/>
          <w:sz w:val="24"/>
          <w:szCs w:val="24"/>
        </w:rPr>
        <w:t>As empresas fornecedoras dos banheiros químicos devem estar devidamente licenciadas e ao final, na limpeza e coleta dos dejetos dar o destino adequado e tratamento, de acordo com a legislação em vigor.</w:t>
      </w:r>
    </w:p>
    <w:p>
      <w:pPr>
        <w:pStyle w:val="normal1"/>
        <w:widowControl/>
        <w:numPr>
          <w:ilvl w:val="0"/>
          <w:numId w:val="5"/>
        </w:numPr>
        <w:pBdr>
          <w:top w:val="single" w:sz="4" w:space="1" w:color="000000"/>
          <w:left w:val="single" w:sz="4" w:space="4" w:color="000000"/>
          <w:bottom w:val="single" w:sz="4" w:space="1" w:color="000000"/>
          <w:right w:val="single" w:sz="4" w:space="4" w:color="000000"/>
        </w:pBdr>
        <w:shd w:val="clear" w:fill="F2F2F2"/>
        <w:tabs>
          <w:tab w:val="clear" w:pos="720"/>
          <w:tab w:val="left" w:pos="142" w:leader="none"/>
        </w:tabs>
        <w:spacing w:lineRule="auto" w:line="360" w:before="0" w:after="160"/>
        <w:ind w:hanging="360" w:start="720"/>
        <w:jc w:val="both"/>
        <w:rPr>
          <w:rFonts w:ascii="Arial" w:hAnsi="Arial" w:eastAsia="Arial" w:cs="Arial"/>
          <w:b/>
          <w:bCs/>
          <w:sz w:val="24"/>
          <w:szCs w:val="24"/>
        </w:rPr>
      </w:pPr>
      <w:r>
        <w:rPr>
          <w:rFonts w:eastAsia="Arial" w:cs="Arial" w:ascii="Arial" w:hAnsi="Arial"/>
          <w:b/>
          <w:bCs/>
          <w:sz w:val="24"/>
          <w:szCs w:val="24"/>
        </w:rPr>
        <w:t>SANÇÕES</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23.1</w:t>
      </w:r>
      <w:r>
        <w:rPr>
          <w:rFonts w:eastAsia="Arial" w:cs="Arial" w:ascii="Arial" w:hAnsi="Arial"/>
          <w:sz w:val="24"/>
          <w:szCs w:val="24"/>
        </w:rPr>
        <w:t xml:space="preserve"> A empresa ficará passível das penalidades previstas na Lei nº 14133/2021 e legislações correlatas, garantida a prévia defesa, caso se recuse a fornecer o que lhe for adjudicado, ou venha a fazê-lo fora das especificações e condições acordadas, impeça ou embarace, de alguma forma, a fiscalização que a CONTRATANTE se reserva ao direito de exercer, ou, ainda, transfira a outrem, no todo ou em parte, o fornecimento dos produtos contratados, bem como o caucione ou utilize-o para qualquer operação financeira. </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23.2</w:t>
      </w:r>
      <w:r>
        <w:rPr>
          <w:rFonts w:eastAsia="Arial" w:cs="Arial" w:ascii="Arial" w:hAnsi="Arial"/>
          <w:sz w:val="24"/>
          <w:szCs w:val="24"/>
        </w:rPr>
        <w:t xml:space="preserve">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rescisão contratual, conforme disposto no art. 121 da Lei 14133/2021.</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23.3</w:t>
      </w:r>
      <w:r>
        <w:rPr>
          <w:rFonts w:eastAsia="Arial" w:cs="Arial" w:ascii="Arial" w:hAnsi="Arial"/>
          <w:sz w:val="24"/>
          <w:szCs w:val="24"/>
        </w:rPr>
        <w:t xml:space="preserve"> As sanções serão aplicadas conforme as infrações administrativas previstas no art. 156, incisos I à V. A sanção prevista no parágrafo 3º do caput deste artigo, calculada na forma da lei não será inferior a 0,5% (cinco décimos por cento) nem superior a 30% (trinta por cento) do valor do contrato licitado, considerando como critério de sua aplicação inexecução parcial ou total do contrato, a gravidade da falta cometida e extensão do dano à contratante.</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23.4 Advertência</w:t>
      </w:r>
      <w:r>
        <w:rPr>
          <w:rFonts w:eastAsia="Arial" w:cs="Arial" w:ascii="Arial" w:hAnsi="Arial"/>
          <w:sz w:val="24"/>
          <w:szCs w:val="24"/>
        </w:rPr>
        <w:t>: §2º, art. 156, da Lei 14.133/2021 – será formalizada de forma escrita quando constatado o descumprimento parcial de uma obrigação específica, aplicável quando do cometimento das sanções previstas no inciso I do artigo 155 da Lei 14.133/2021.</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23.5 Multa</w:t>
      </w:r>
      <w:r>
        <w:rPr>
          <w:rFonts w:eastAsia="Arial" w:cs="Arial" w:ascii="Arial" w:hAnsi="Arial"/>
          <w:sz w:val="24"/>
          <w:szCs w:val="24"/>
        </w:rPr>
        <w:t xml:space="preserve">: § 3º, art. 156, da Lei 14.133/2021 – será aplicada na ocorrência de inexecução parcial ou total do contrato, bem como em ato considerado fraudulento na execução do contrato. </w:t>
      </w:r>
      <w:r>
        <w:rPr>
          <w:rFonts w:eastAsia="Arial" w:cs="Arial" w:ascii="Arial" w:hAnsi="Arial"/>
          <w:b/>
          <w:bCs/>
          <w:sz w:val="24"/>
          <w:szCs w:val="24"/>
        </w:rPr>
        <w:t>Multa moratória</w:t>
      </w:r>
      <w:r>
        <w:rPr>
          <w:rFonts w:eastAsia="Arial" w:cs="Arial" w:ascii="Arial" w:hAnsi="Arial"/>
          <w:sz w:val="24"/>
          <w:szCs w:val="24"/>
        </w:rPr>
        <w:t xml:space="preserve">: 1,0% (um por cento) ao dia, incidente sobre o valor do contrato, quando do atraso no cumprimento da obrigação, aumentando para 2,0 (dois por cento) se passar de 10 (dez) dias consecutivos, até o limite de 15 (quinze) dias, sendo que a partir do 16º (décimo sexto) dia de atraso, e a critério da Administração poderá ocorrer a rescisão unilateral do contrato, com a aplicação de </w:t>
      </w:r>
      <w:r>
        <w:rPr>
          <w:rFonts w:eastAsia="Arial" w:cs="Arial" w:ascii="Arial" w:hAnsi="Arial"/>
          <w:b/>
          <w:bCs/>
          <w:sz w:val="24"/>
          <w:szCs w:val="24"/>
        </w:rPr>
        <w:t xml:space="preserve">multa compensatória – art.162 e § Ú da Lei 14.133/2021 - </w:t>
      </w:r>
      <w:r>
        <w:rPr>
          <w:rFonts w:eastAsia="Arial" w:cs="Arial" w:ascii="Arial" w:hAnsi="Arial"/>
          <w:sz w:val="24"/>
          <w:szCs w:val="24"/>
        </w:rPr>
        <w:t xml:space="preserve"> de 20% (vinte por cento) sobre o valor do contrato. A multa tem característica cumulativa, podendo ser aplicada de forma cumulada conforme prevê o §7º do art. 156 da Lei 14.133/2021.</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23.6 Impedimento de licitar e contratar com a Administração Pública</w:t>
      </w:r>
      <w:r>
        <w:rPr>
          <w:rFonts w:eastAsia="Arial" w:cs="Arial" w:ascii="Arial" w:hAnsi="Arial"/>
          <w:sz w:val="24"/>
          <w:szCs w:val="24"/>
        </w:rPr>
        <w:t xml:space="preserve"> - § 4º, art. 156, da Lei 14.133/2021 – caberá tal sanção quando houver a inexecução parcial do contrato que cause grave dano à Administração, ao funcionamento dos serviços públicos ou ao interesse coletivo, bem como nos casos que der causa à inexecução total do contrato.</w:t>
      </w:r>
    </w:p>
    <w:p>
      <w:pPr>
        <w:pStyle w:val="normal1"/>
        <w:widowControl/>
        <w:tabs>
          <w:tab w:val="clear" w:pos="720"/>
          <w:tab w:val="left" w:pos="1245" w:leader="none"/>
        </w:tabs>
        <w:spacing w:lineRule="auto" w:line="360" w:before="0" w:after="160"/>
        <w:jc w:val="both"/>
        <w:rPr>
          <w:rFonts w:ascii="Arial" w:hAnsi="Arial" w:eastAsia="Arial" w:cs="Arial"/>
          <w:sz w:val="24"/>
          <w:szCs w:val="24"/>
        </w:rPr>
      </w:pPr>
      <w:r>
        <w:rPr>
          <w:rFonts w:eastAsia="Arial" w:cs="Arial" w:ascii="Arial" w:hAnsi="Arial"/>
          <w:b/>
          <w:bCs/>
          <w:sz w:val="24"/>
          <w:szCs w:val="24"/>
        </w:rPr>
        <w:t xml:space="preserve">23.7 Declarações de inidoneidade para licitar ou contratar </w:t>
      </w:r>
      <w:r>
        <w:rPr>
          <w:rFonts w:eastAsia="Arial" w:cs="Arial" w:ascii="Arial" w:hAnsi="Arial"/>
          <w:sz w:val="24"/>
          <w:szCs w:val="24"/>
        </w:rPr>
        <w:t>- § 5º, art. 156, da lei 14.133/2021- cabível na prática de atos fraudulentos na execução do contrato, bem como nos casos em que a gravidade recomendar, cabendo ainda nos casos onde a contratada der causa a inexecução parcial ou total do contrato.</w:t>
      </w:r>
    </w:p>
    <w:p>
      <w:pPr>
        <w:pStyle w:val="normal1"/>
        <w:widowControl/>
        <w:tabs>
          <w:tab w:val="clear" w:pos="720"/>
          <w:tab w:val="left" w:pos="1245" w:leader="none"/>
        </w:tabs>
        <w:spacing w:lineRule="auto" w:line="276" w:before="200" w:after="200"/>
        <w:jc w:val="both"/>
        <w:rPr>
          <w:rFonts w:ascii="Arial" w:hAnsi="Arial" w:eastAsia="Arial" w:cs="Arial"/>
          <w:sz w:val="24"/>
          <w:szCs w:val="24"/>
        </w:rPr>
      </w:pPr>
      <w:r>
        <w:rPr>
          <w:rFonts w:eastAsia="Arial" w:cs="Arial" w:ascii="Arial" w:hAnsi="Arial"/>
          <w:b/>
          <w:bCs/>
          <w:sz w:val="24"/>
          <w:szCs w:val="24"/>
        </w:rPr>
        <w:t xml:space="preserve">23.8 Dosimetrias das sanções </w:t>
      </w:r>
      <w:r>
        <w:rPr>
          <w:rFonts w:eastAsia="Arial" w:cs="Arial" w:ascii="Arial" w:hAnsi="Arial"/>
          <w:sz w:val="24"/>
          <w:szCs w:val="24"/>
        </w:rPr>
        <w:t>- § 1º do art. 156, da Lei 14.133/2021 – a aplicação das sanções será com base neste dispositivo legal, cabendo a autoridade competente mediante decisão fundamentada e proporcional, dosar a sanção a ser aplicada.</w:t>
      </w:r>
    </w:p>
    <w:p>
      <w:pPr>
        <w:pStyle w:val="normal1"/>
        <w:widowControl/>
        <w:tabs>
          <w:tab w:val="clear" w:pos="720"/>
          <w:tab w:val="left" w:pos="1245" w:leader="none"/>
        </w:tabs>
        <w:spacing w:lineRule="auto" w:line="276" w:before="200" w:after="200"/>
        <w:jc w:val="both"/>
        <w:rPr>
          <w:rFonts w:ascii="Arial" w:hAnsi="Arial" w:eastAsia="Arial" w:cs="Arial"/>
          <w:sz w:val="24"/>
          <w:szCs w:val="24"/>
        </w:rPr>
      </w:pPr>
      <w:r>
        <w:rPr>
          <w:rFonts w:eastAsia="Arial" w:cs="Arial" w:ascii="Arial" w:hAnsi="Arial"/>
          <w:b/>
          <w:bCs/>
          <w:sz w:val="24"/>
          <w:szCs w:val="24"/>
        </w:rPr>
        <w:t xml:space="preserve">23.9 Da Rescisão Contratual </w:t>
      </w:r>
      <w:r>
        <w:rPr>
          <w:rFonts w:eastAsia="Arial" w:cs="Arial" w:ascii="Arial" w:hAnsi="Arial"/>
          <w:sz w:val="24"/>
          <w:szCs w:val="24"/>
        </w:rPr>
        <w:t>– art. 137, da Lei 14.133/2021 - Art. 137. Constituirão motivos para extinção do contrato, a qual deverá ser formalmente motivada nos autos do processo, assegurados o contraditório e a ampla defesa, as seguintes situações:</w:t>
      </w:r>
    </w:p>
    <w:p>
      <w:pPr>
        <w:pStyle w:val="normal1"/>
        <w:widowControl/>
        <w:spacing w:lineRule="auto" w:line="276" w:before="200" w:after="200"/>
        <w:jc w:val="both"/>
        <w:rPr>
          <w:rFonts w:ascii="Arial" w:hAnsi="Arial" w:eastAsia="Arial" w:cs="Arial"/>
          <w:sz w:val="24"/>
          <w:szCs w:val="24"/>
        </w:rPr>
      </w:pPr>
      <w:r>
        <w:rPr>
          <w:rFonts w:eastAsia="Arial" w:cs="Arial" w:ascii="Arial" w:hAnsi="Arial"/>
          <w:b/>
          <w:bCs/>
          <w:sz w:val="24"/>
          <w:szCs w:val="24"/>
        </w:rPr>
        <w:t>23.10</w:t>
      </w:r>
      <w:r>
        <w:rPr>
          <w:rFonts w:eastAsia="Arial" w:cs="Arial" w:ascii="Arial" w:hAnsi="Arial"/>
          <w:sz w:val="24"/>
          <w:szCs w:val="24"/>
        </w:rPr>
        <w:t xml:space="preserve"> I - não cumprimento ou cumprimento irregular de normas editalícias ou de cláusulas contratuais, de especificações, de projetos ou de prazos;</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II - desatendimento das determinações regulares emitidas pela autoridade designada para acompanhar e fiscalizar sua execução ou por autoridade superior;</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III - alteração social ou modificação da finalidade ou da estrutura da empresa que restrinja sua capacidade de concluir o contrato;</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IV - decretação de falência ou de insolvência civil, dissolução da sociedade ou falecimento do contratado;</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V - caso fortuito ou força maior, regularmente comprovados, impeditivos da execução do contrato;</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VI - atraso na obtenção da licença ambiental, ou impossibilidade de obtê-la, ou alteração substancial do anteprojeto que dela resultar, ainda que obtida no prazo previsto;</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VII - atraso na liberação das áreas sujeitas a desapropriação, a desocupação ou a servidão administrativa, ou impossibilidade de liberação dessas áreas;</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VIII - razões de interesse público, justificadas pela autoridade máxima do órgão ou da entidade contratante;</w:t>
      </w:r>
    </w:p>
    <w:p>
      <w:pPr>
        <w:pStyle w:val="normal1"/>
        <w:widowControl/>
        <w:spacing w:lineRule="auto" w:line="240" w:before="200" w:after="200"/>
        <w:jc w:val="both"/>
        <w:rPr>
          <w:rFonts w:ascii="Arial" w:hAnsi="Arial" w:eastAsia="Arial" w:cs="Arial"/>
          <w:sz w:val="24"/>
          <w:szCs w:val="24"/>
        </w:rPr>
      </w:pPr>
      <w:r>
        <w:rPr>
          <w:rFonts w:eastAsia="Arial" w:cs="Arial" w:ascii="Arial" w:hAnsi="Arial"/>
          <w:sz w:val="24"/>
          <w:szCs w:val="24"/>
        </w:rPr>
        <w:t>IX - não cumprimento das obrigações relativas à reserva de cargos prevista em lei, bem como em outras normas específicas, para pessoa com deficiência, para reabilitado da Previdência Social ou para aprendiz.</w:t>
      </w:r>
    </w:p>
    <w:p>
      <w:pPr>
        <w:pStyle w:val="normal1"/>
        <w:widowControl/>
        <w:spacing w:lineRule="auto" w:line="240" w:before="200" w:after="200"/>
        <w:ind w:hanging="0" w:start="507"/>
        <w:jc w:val="both"/>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3460" w:leader="none"/>
          <w:tab w:val="right" w:pos="8504" w:leader="none"/>
        </w:tabs>
        <w:spacing w:lineRule="auto" w:line="360" w:before="0" w:after="160"/>
        <w:rPr>
          <w:rFonts w:ascii="Arial" w:hAnsi="Arial" w:eastAsia="Arial" w:cs="Arial"/>
          <w:sz w:val="24"/>
          <w:szCs w:val="24"/>
        </w:rPr>
      </w:pPr>
      <w:r>
        <w:rPr>
          <w:rFonts w:eastAsia="Arial" w:cs="Arial" w:ascii="Arial" w:hAnsi="Arial"/>
          <w:sz w:val="24"/>
          <w:szCs w:val="24"/>
        </w:rPr>
        <w:tab/>
        <w:t>Florianópolis, 24 de junho de 2026.</w:t>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t>__________________________________</w:t>
        <w:br/>
      </w:r>
      <w:r>
        <w:rPr>
          <w:rFonts w:eastAsia="Arial" w:cs="Arial" w:ascii="Arial" w:hAnsi="Arial"/>
          <w:b/>
          <w:bCs/>
          <w:sz w:val="24"/>
          <w:szCs w:val="24"/>
        </w:rPr>
        <w:t>CARLOS ALBERTO SIMONE FERRARI</w:t>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t>Diretor Projetos</w:t>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t>___________________________________</w:t>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b/>
          <w:bCs/>
          <w:sz w:val="24"/>
          <w:szCs w:val="24"/>
        </w:rPr>
        <w:t>RAFAEL HAHNE</w:t>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t>Secretário de Infraestrutura e Manutenção da Cidade.</w:t>
      </w:r>
    </w:p>
    <w:p>
      <w:pPr>
        <w:pStyle w:val="normal1"/>
        <w:widowControl/>
        <w:tabs>
          <w:tab w:val="clear" w:pos="720"/>
          <w:tab w:val="left" w:pos="3630" w:leader="none"/>
        </w:tabs>
        <w:jc w:val="center"/>
        <w:rPr>
          <w:rFonts w:ascii="Arial" w:hAnsi="Arial" w:eastAsia="Arial" w:cs="Arial"/>
          <w:sz w:val="24"/>
          <w:szCs w:val="24"/>
        </w:rPr>
      </w:pPr>
      <w:r>
        <w:rPr>
          <w:rFonts w:eastAsia="Arial" w:cs="Arial" w:ascii="Arial" w:hAnsi="Arial"/>
          <w:sz w:val="24"/>
          <w:szCs w:val="24"/>
        </w:rPr>
      </w:r>
    </w:p>
    <w:p>
      <w:pPr>
        <w:pStyle w:val="normal1"/>
        <w:widowControl/>
        <w:tabs>
          <w:tab w:val="clear" w:pos="720"/>
          <w:tab w:val="left" w:pos="3630" w:leader="none"/>
        </w:tabs>
        <w:jc w:val="center"/>
        <w:rPr>
          <w:rFonts w:ascii="Arial" w:hAnsi="Arial" w:eastAsia="Arial" w:cs="Arial"/>
          <w:b/>
          <w:bCs/>
        </w:rPr>
      </w:pPr>
      <w:r>
        <w:rPr>
          <w:rFonts w:eastAsia="Arial" w:cs="Arial" w:ascii="Arial" w:hAnsi="Arial"/>
          <w:b/>
          <w:bCs/>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p>
    <w:p>
      <w:pPr>
        <w:pStyle w:val="normal1"/>
        <w:widowControl/>
        <w:tabs>
          <w:tab w:val="clear" w:pos="720"/>
          <w:tab w:val="left" w:pos="3630" w:leader="none"/>
        </w:tabs>
        <w:jc w:val="center"/>
        <w:rPr>
          <w:rFonts w:ascii="Arial" w:hAnsi="Arial" w:eastAsia="Arial" w:cs="Arial"/>
        </w:rPr>
      </w:pPr>
      <w:r>
        <w:rPr>
          <w:rFonts w:eastAsia="Arial" w:cs="Arial" w:ascii="Arial" w:hAnsi="Arial"/>
        </w:rPr>
      </w:r>
      <w:bookmarkStart w:id="3" w:name="_heading=h.jfyhtve79bwz"/>
      <w:bookmarkEnd w:id="3"/>
    </w:p>
    <w:p>
      <w:pPr>
        <w:pStyle w:val="normal1"/>
        <w:spacing w:lineRule="auto" w:line="360"/>
        <w:jc w:val="center"/>
        <w:rPr>
          <w:rFonts w:ascii="Arial" w:hAnsi="Arial" w:eastAsia="Arial" w:cs="Arial"/>
          <w:b/>
          <w:bCs/>
          <w:color w:val="FF0000"/>
        </w:rPr>
      </w:pPr>
      <w:r>
        <w:rPr>
          <w:rFonts w:eastAsia="Arial" w:cs="Arial" w:ascii="Arial" w:hAnsi="Arial"/>
          <w:b/>
          <w:bCs/>
          <w:color w:val="FF0000"/>
        </w:rPr>
      </w:r>
    </w:p>
    <w:p>
      <w:pPr>
        <w:pStyle w:val="normal1"/>
        <w:spacing w:lineRule="auto" w:line="360"/>
        <w:rPr>
          <w:rFonts w:ascii="Arial" w:hAnsi="Arial" w:eastAsia="Arial" w:cs="Arial"/>
          <w:b/>
          <w:bCs/>
        </w:rPr>
      </w:pPr>
      <w:r>
        <w:rPr>
          <w:rFonts w:eastAsia="Arial" w:cs="Arial" w:ascii="Arial" w:hAnsi="Arial"/>
          <w:b/>
          <w:bCs/>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r>
        <w:br w:type="page"/>
      </w:r>
    </w:p>
    <w:p>
      <w:pPr>
        <w:pStyle w:val="normal1"/>
        <w:tabs>
          <w:tab w:val="clear" w:pos="720"/>
          <w:tab w:val="left" w:pos="478" w:leader="none"/>
        </w:tabs>
        <w:spacing w:lineRule="auto" w:line="360" w:before="0" w:after="0"/>
        <w:jc w:val="center"/>
        <w:rPr>
          <w:rFonts w:ascii="Arial" w:hAnsi="Arial" w:eastAsia="Arial" w:cs="Arial"/>
          <w:b/>
          <w:bCs/>
        </w:rPr>
      </w:pPr>
      <w:r>
        <w:rPr>
          <w:rFonts w:eastAsia="Arial" w:cs="Arial" w:ascii="Arial" w:hAnsi="Arial"/>
          <w:b/>
          <w:bCs/>
        </w:rPr>
        <w:t>ANEXO II – MINUTA DO CONTRATO</w:t>
      </w:r>
    </w:p>
    <w:p>
      <w:pPr>
        <w:pStyle w:val="normal1"/>
        <w:spacing w:lineRule="auto" w:line="360"/>
        <w:rPr>
          <w:rFonts w:ascii="Arial" w:hAnsi="Arial" w:eastAsia="Arial" w:cs="Arial"/>
          <w:b/>
          <w:bCs/>
        </w:rPr>
      </w:pPr>
      <w:r>
        <w:rPr>
          <w:rFonts w:eastAsia="Arial" w:cs="Arial" w:ascii="Arial" w:hAnsi="Arial"/>
          <w:b/>
          <w:bCs/>
        </w:rPr>
      </w:r>
    </w:p>
    <w:p>
      <w:pPr>
        <w:pStyle w:val="normal1"/>
        <w:widowControl/>
        <w:spacing w:lineRule="auto" w:line="360"/>
        <w:ind w:hanging="0" w:start="2268"/>
        <w:jc w:val="both"/>
        <w:rPr>
          <w:rFonts w:ascii="Arial" w:hAnsi="Arial" w:eastAsia="Arial" w:cs="Arial"/>
          <w:b/>
          <w:bCs/>
        </w:rPr>
      </w:pPr>
      <w:r>
        <w:rPr>
          <w:rFonts w:eastAsia="Arial" w:cs="Arial" w:ascii="Arial" w:hAnsi="Arial"/>
          <w:b/>
          <w:bCs/>
        </w:rPr>
        <w:t xml:space="preserve">CONTRATO ADMINISTRATIVO N.º......../...., QUE FAZEM ENTRE SI A PREFEITURA MUNICIPAL DE FLORIANÓPOLIS, POR INTERMÉDIO DO (A) ......................................................... E ......................................................... </w:t>
      </w:r>
    </w:p>
    <w:p>
      <w:pPr>
        <w:pStyle w:val="normal1"/>
        <w:widowControl/>
        <w:spacing w:lineRule="auto" w:line="360"/>
        <w:ind w:hanging="1"/>
        <w:jc w:val="both"/>
        <w:rPr>
          <w:rFonts w:ascii="Arial" w:hAnsi="Arial" w:eastAsia="Arial" w:cs="Arial"/>
        </w:rPr>
      </w:pPr>
      <w:r>
        <w:rPr>
          <w:rFonts w:eastAsia="Arial" w:cs="Arial" w:ascii="Arial" w:hAnsi="Arial"/>
        </w:rPr>
        <w:t xml:space="preserve">A PREFEITURA MUNICIPAL DE FLORIANÓPOLIS por intermédio do(a) ....................................(órgão </w:t>
      </w:r>
      <w:r>
        <w:rPr>
          <w:rFonts w:eastAsia="Arial" w:cs="Arial" w:ascii="Arial" w:hAnsi="Arial"/>
          <w:b/>
          <w:bCs/>
        </w:rPr>
        <w:t>CONTRATANTE</w:t>
      </w:r>
      <w:r>
        <w:rPr>
          <w:rFonts w:eastAsia="Arial" w:cs="Arial" w:ascii="Arial" w:hAnsi="Arial"/>
        </w:rPr>
        <w:t xml:space="preserve">), com sede no(a) ....................................................., na cidade de ...................................... /Estado ..., inscrito(a) no CNPJ sob o n.º ................................, neste ato representado(a) pelo(a) ......................... (cargo e nome), nomeado(a) pela Portaria n.º ......, de .....de..................... de 20..., publicada no DOU de .....de............... de ..........., portador da Matrícula Funcional n.º .........., doravante denominado </w:t>
      </w:r>
      <w:r>
        <w:rPr>
          <w:rFonts w:eastAsia="Arial" w:cs="Arial" w:ascii="Arial" w:hAnsi="Arial"/>
          <w:b/>
          <w:bCs/>
        </w:rPr>
        <w:t>CONTRATANTE</w:t>
      </w:r>
      <w:r>
        <w:rPr>
          <w:rFonts w:eastAsia="Arial" w:cs="Arial" w:ascii="Arial" w:hAnsi="Arial"/>
        </w:rPr>
        <w:t xml:space="preserve">, e o(a) ..............................,inscrito(a) no CNPJ/MF sob o n.º ............................, sediado(a) na..................................., em.............................doravante designado </w:t>
      </w:r>
      <w:r>
        <w:rPr>
          <w:rFonts w:eastAsia="Arial" w:cs="Arial" w:ascii="Arial" w:hAnsi="Arial"/>
          <w:b/>
          <w:bCs/>
        </w:rPr>
        <w:t>CONTRATADO</w:t>
      </w:r>
      <w:r>
        <w:rPr>
          <w:rFonts w:eastAsia="Arial" w:cs="Arial" w:ascii="Arial" w:hAnsi="Arial"/>
        </w:rPr>
        <w:t xml:space="preserve">, neste ato representado(a) por.................................. (nome e função do </w:t>
      </w:r>
      <w:r>
        <w:rPr>
          <w:rFonts w:eastAsia="Arial" w:cs="Arial" w:ascii="Arial" w:hAnsi="Arial"/>
          <w:b/>
          <w:bCs/>
        </w:rPr>
        <w:t>CONTRATADO</w:t>
      </w:r>
      <w:r>
        <w:rPr>
          <w:rFonts w:eastAsia="Arial" w:cs="Arial" w:ascii="Arial" w:hAnsi="Arial"/>
        </w:rPr>
        <w:t xml:space="preserve">), conforme atos constitutivos da empresa </w:t>
      </w:r>
      <w:r>
        <w:rPr>
          <w:rFonts w:eastAsia="Arial" w:cs="Arial" w:ascii="Arial" w:hAnsi="Arial"/>
          <w:b/>
          <w:bCs/>
        </w:rPr>
        <w:t xml:space="preserve">OU </w:t>
      </w:r>
      <w:r>
        <w:rPr>
          <w:rFonts w:eastAsia="Arial" w:cs="Arial" w:ascii="Arial" w:hAnsi="Arial"/>
        </w:rPr>
        <w:t>procuração apresentada nos autos, tendo em vista o que consta no Processo n.º.............................. e em observância às disposições da Lei n.º 14.133, de 1º de abril de 2021, e demais legislação aplicável, resolvem celebrar o presente Termo de Contrato, decorrente do ...................... n.º .../..., mediante as cláusulas e condições a seguir enunciadas.</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PRIMEIRA – OBJETO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Constitui objeto do presente Contrato a execução de serviço(s) </w:t>
      </w:r>
      <w:r>
        <w:rPr>
          <w:rFonts w:eastAsia="Arial" w:cs="Arial" w:ascii="Arial" w:hAnsi="Arial"/>
          <w:b/>
          <w:bCs/>
        </w:rPr>
        <w:t>comuns de engenharia</w:t>
      </w:r>
      <w:r>
        <w:rPr>
          <w:rFonts w:eastAsia="Arial" w:cs="Arial" w:ascii="Arial" w:hAnsi="Arial"/>
        </w:rPr>
        <w:t xml:space="preserve"> de ............................................, município de Florianópolis/SC, conforme planilha de custos (Anexo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Vinculam esta contratação, independentemente de transcrição: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 Termo de Referência;</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 Edital da Licitação;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Proposta do </w:t>
      </w:r>
      <w:r>
        <w:rPr>
          <w:rFonts w:eastAsia="Arial" w:cs="Arial" w:ascii="Arial" w:hAnsi="Arial"/>
          <w:b/>
          <w:bCs/>
        </w:rPr>
        <w:t>CONTRATADO</w:t>
      </w:r>
      <w:r>
        <w:rPr>
          <w:rFonts w:eastAsia="Arial" w:cs="Arial" w:ascii="Arial" w:hAnsi="Arial"/>
        </w:rPr>
        <w:t>;</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Eventuais anexos dos documentos supracitados.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Em caso de divergência ou duplicidade em relação aos elementos técnicos instrutores, prevalecerá na execução do objeto do contrato a seguinte ordem de prioridade:</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Projetos arquitetônico e complementares, especificações e memoriais descritivos e demais elementos técnicos pertinentes a cada caso;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Planilha de quantidades de serviços;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Nos projetos prevalecerão os elementos de maior detalhamento;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planilha de quantidades e serviços será orientativa, devendo o </w:t>
      </w:r>
      <w:r>
        <w:rPr>
          <w:rFonts w:eastAsia="Arial" w:cs="Arial" w:ascii="Arial" w:hAnsi="Arial"/>
          <w:b/>
          <w:bCs/>
        </w:rPr>
        <w:t xml:space="preserve">CONTRATADO </w:t>
      </w:r>
      <w:r>
        <w:rPr>
          <w:rFonts w:eastAsia="Arial" w:cs="Arial" w:ascii="Arial" w:hAnsi="Arial"/>
        </w:rPr>
        <w:t>tomar por base o(s) projeto(s) constante(s) e os anexos do instrumento convocatório, desde o momento da efetivação de sua proposta no procedimento licitatório até a execução do objeto;</w:t>
      </w:r>
    </w:p>
    <w:p>
      <w:pPr>
        <w:pStyle w:val="normal1"/>
        <w:widowControl/>
        <w:spacing w:lineRule="auto" w:line="360"/>
        <w:ind w:hanging="0" w:start="2160"/>
        <w:jc w:val="both"/>
        <w:rPr>
          <w:rFonts w:ascii="Arial" w:hAnsi="Arial" w:eastAsia="Arial" w:cs="Arial"/>
        </w:rPr>
      </w:pPr>
      <w:r>
        <w:rPr>
          <w:rFonts w:eastAsia="Arial" w:cs="Arial" w:ascii="Arial" w:hAnsi="Arial"/>
        </w:rPr>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SEGUNDA – MODELOS DE EXECUÇÃO E GESTÃO CONTRATUAIS (Art. 92, IV, VII e XVIII,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 regime de execução contratual, os modelos de gestão e de execução, assim como os prazos e condições de conclusão e entrega, observarão o recebimento do objeto que consta no Termo de Referência, anexo a este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 regime de execução é o de empreitada por preço unitário.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No caso de empreitada por preço global com critério de julgamento por menor preço, a diferença entre cada preço unitário e seu respectivo preço estimado pela Administração não pode ultrapassar 25%, para mais ou para menos, sob pena de caracterizar sobrepreço ou preço inexequível, respectivamente.</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 xml:space="preserve">CLÁUSULA TERCEIRA – PREÇO </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O valor total da contratação é de R$.......... (valor por extenso).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O valor acima é meramente estimativo, de forma que os pagamentos devidos ao </w:t>
      </w:r>
      <w:r>
        <w:rPr>
          <w:rFonts w:eastAsia="Arial" w:cs="Arial" w:ascii="Arial" w:hAnsi="Arial"/>
          <w:b/>
          <w:bCs/>
          <w:i/>
          <w:iCs/>
        </w:rPr>
        <w:t xml:space="preserve">CONTRATADO </w:t>
      </w:r>
      <w:r>
        <w:rPr>
          <w:rFonts w:eastAsia="Arial" w:cs="Arial" w:ascii="Arial" w:hAnsi="Arial"/>
          <w:i/>
          <w:iCs/>
        </w:rPr>
        <w:t>dependerão dos quantitativos efetivamente fornecidos.</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QUARTA – CONDIÇÕES DE PAGAMENTO (Art. 92, V e VI,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As medições dos serviços efetivamente realizados serão medidas entre os dias primeiro e último de cada mês, com exceção da primeira e última que poderão ser fracionadas pelo </w:t>
      </w:r>
      <w:r>
        <w:rPr>
          <w:rFonts w:eastAsia="Arial" w:cs="Arial" w:ascii="Arial" w:hAnsi="Arial"/>
          <w:b/>
          <w:bCs/>
        </w:rPr>
        <w:t>CONTRATANTE</w:t>
      </w:r>
      <w:r>
        <w:rPr>
          <w:rFonts w:eastAsia="Arial" w:cs="Arial" w:ascii="Arial" w:hAnsi="Arial"/>
        </w:rPr>
        <w:t>, devendo constar da folha de medição o período efetivo da realização dos serviços.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As medições serão elaboradas com base nos quantitativos e preços unitários constantes da proposta do </w:t>
      </w:r>
      <w:r>
        <w:rPr>
          <w:rFonts w:eastAsia="Arial" w:cs="Arial" w:ascii="Arial" w:hAnsi="Arial"/>
          <w:b/>
          <w:bCs/>
        </w:rPr>
        <w:t>CONTRATADO</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Os pagamentos do </w:t>
      </w:r>
      <w:r>
        <w:rPr>
          <w:rFonts w:eastAsia="Arial" w:cs="Arial" w:ascii="Arial" w:hAnsi="Arial"/>
          <w:b/>
          <w:bCs/>
        </w:rPr>
        <w:t xml:space="preserve">CONTRATADO </w:t>
      </w:r>
      <w:r>
        <w:rPr>
          <w:rFonts w:eastAsia="Arial" w:cs="Arial" w:ascii="Arial" w:hAnsi="Arial"/>
        </w:rPr>
        <w:t>serão realizados a partir do dia 21 do mês subsequente ao da entrega dos relatórios com as respectivas notas fiscais, de acordo com a Instrução Normativa n.º 005/SMF/GAB/2025.</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No caso das datas descritas recair em feriado, final de semana ou que não seja possível o expediente público, será efetivada a ação descrita no próximo dia útil;</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Os pagamentos serão efetuados mediante a apresentação de documentos financeiros que deverão ser entregues na Diretoria Financeira da SMF, dentro das condições exigidas pela legislação vigente, até o dia 25 de cada mês, e serão pagas a partir do dia 21 do mês subsequente.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 parcela fonte da obra considerada incompleta, defeituosa ou fora das especificações do projeto, assim como das normas técnicas, não será objeto de medição.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No que se refere à retenção do imposto de renda na fonte, o município de Florianópolis aplicará o disposto no Decreto municipal n.º 23.946/2022 e na Instrução Normativa n.º 002/SMF/2022, de 05/05/2023 que regulamentam a matéria em função da Decisão do Supremo Tribunal Federal no Recurso Extraordinário n.º 1.293.453/RS, Tema 1130, com repercussão geral.</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QUINTA – REAJUSTE (Art. 92, V,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Os preços inicialmente contratados são fixos e irreajustáveis no prazo de um ano contado da data do orçamento estimado.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 orçamento estimado pela Secretaria Municipal de Planejamento, Habitação e Desenvolvimento Urbano baseou-se nas planilhas referenciais [elaboradas com base no SINAPI (SICRO) do mês xxxx do ano de yyyy] OU [datadas de____/ _____/____].</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Após o interregno de um ano, e independentemente de pedido do </w:t>
      </w:r>
      <w:r>
        <w:rPr>
          <w:rFonts w:eastAsia="Arial" w:cs="Arial" w:ascii="Arial" w:hAnsi="Arial"/>
          <w:b/>
          <w:bCs/>
        </w:rPr>
        <w:t>CONTRATADO</w:t>
      </w:r>
      <w:r>
        <w:rPr>
          <w:rFonts w:eastAsia="Arial" w:cs="Arial" w:ascii="Arial" w:hAnsi="Arial"/>
        </w:rPr>
        <w:t xml:space="preserve">,os preços iniciais serão reajustados, mediante a aplicação, pelo </w:t>
      </w:r>
      <w:r>
        <w:rPr>
          <w:rFonts w:eastAsia="Arial" w:cs="Arial" w:ascii="Arial" w:hAnsi="Arial"/>
          <w:b/>
          <w:bCs/>
        </w:rPr>
        <w:t>CONTRATANTE</w:t>
      </w:r>
      <w:r>
        <w:rPr>
          <w:rFonts w:eastAsia="Arial" w:cs="Arial" w:ascii="Arial" w:hAnsi="Arial"/>
        </w:rPr>
        <w:t>, do índice ___________ (indicar o índice a ser adotado), exclusivamente para as obrigações iniciadas e concluídas após a ocorrência da anualidade.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Nos reajustes subsequentes ao primeiro, o interregno mínimo de um ano será contado a partir dos efeitos financeiros do último reajuste.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No caso de atraso ou não divulgação do(s) índice (s) de reajustamento, o </w:t>
      </w:r>
      <w:r>
        <w:rPr>
          <w:rFonts w:eastAsia="Arial" w:cs="Arial" w:ascii="Arial" w:hAnsi="Arial"/>
          <w:b/>
          <w:bCs/>
        </w:rPr>
        <w:t xml:space="preserve">CONTRATANTE </w:t>
      </w:r>
      <w:r>
        <w:rPr>
          <w:rFonts w:eastAsia="Arial" w:cs="Arial" w:ascii="Arial" w:hAnsi="Arial"/>
        </w:rPr>
        <w:t xml:space="preserve">pagará ao </w:t>
      </w:r>
      <w:r>
        <w:rPr>
          <w:rFonts w:eastAsia="Arial" w:cs="Arial" w:ascii="Arial" w:hAnsi="Arial"/>
          <w:b/>
          <w:bCs/>
        </w:rPr>
        <w:t xml:space="preserve">CONTRATADO </w:t>
      </w:r>
      <w:r>
        <w:rPr>
          <w:rFonts w:eastAsia="Arial" w:cs="Arial" w:ascii="Arial" w:hAnsi="Arial"/>
        </w:rPr>
        <w:t xml:space="preserve">a importância calculada pela última variação conhecida, mediante solicitação do </w:t>
      </w:r>
      <w:r>
        <w:rPr>
          <w:rFonts w:eastAsia="Arial" w:cs="Arial" w:ascii="Arial" w:hAnsi="Arial"/>
          <w:b/>
          <w:bCs/>
        </w:rPr>
        <w:t xml:space="preserve">CONTRATADO </w:t>
      </w:r>
      <w:r>
        <w:rPr>
          <w:rFonts w:eastAsia="Arial" w:cs="Arial" w:ascii="Arial" w:hAnsi="Arial"/>
        </w:rPr>
        <w:t xml:space="preserve">a diferença correspondente tão logo seja(m) divulgado(s) o(s) índice(s) definitivo(s). </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Fica o </w:t>
      </w:r>
      <w:r>
        <w:rPr>
          <w:rFonts w:eastAsia="Arial" w:cs="Arial" w:ascii="Arial" w:hAnsi="Arial"/>
          <w:b/>
          <w:bCs/>
          <w:i/>
          <w:iCs/>
        </w:rPr>
        <w:t xml:space="preserve">CONTRATADO </w:t>
      </w:r>
      <w:r>
        <w:rPr>
          <w:rFonts w:eastAsia="Arial" w:cs="Arial" w:ascii="Arial" w:hAnsi="Arial"/>
          <w:i/>
          <w:iCs/>
        </w:rPr>
        <w:t>obrigado a apresentar memória de cálculo referente ao reajustamento de preços do valor remanescente, sempre que este ocorrer.</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Nas aferições finais, o(s) índice(s) utilizado(s) para reajuste será(ão), obrigatoriamente, o(s) definitivo(s).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Caso o(s) índice(s) estabelecido(s) para reajustamento venha(m) a ser extinto(s) ou de qualquer forma não possa(m) mais ser utilizado(s), será(ão) adotado(s), em substituição, o(s) que vier(em) a ser determinado(s) pela legislação então em vigor.</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Na ausência de previsão legal quanto ao índice substituto, as partes elegerão novo índice oficial, para reajustamento do preço do valor remanescente, por meio de termo aditivo.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 reajuste será realizado por termo aditivo.</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SEXTA – ALTERAÇÕES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Eventuais alterações contratuais reger-se-ão pela disciplina dos art. 124 e seguintes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CONTRATADO </w:t>
      </w:r>
      <w:r>
        <w:rPr>
          <w:rFonts w:eastAsia="Arial" w:cs="Arial" w:ascii="Arial" w:hAnsi="Arial"/>
        </w:rPr>
        <w:t>é obrigado a aceitar, nas mesmas condições contratuais, os acréscimos ou supressões que se fizerem necessários, até o limite de 25% (vinte e cinco por cento) do valor inicial atualizado do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Registros que não caracterizam alteração do contrato podem ser realizados por simples apostila, dispensada a celebração de termo aditivo, na forma do art. 136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 diferença percentual entre o valor global do contrato e o preço global de referência não poderá ser reduzida em favor do contratado em decorrência de aditamentos que modifiquem a planilha orçamentária, conforme art. 14 do Decreto Federal n° 7.983/2013.</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SÉTIMA – DA VIGÊNCIA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 </w:t>
      </w:r>
      <w:r>
        <w:rPr>
          <w:rFonts w:eastAsia="Arial" w:cs="Arial" w:ascii="Arial" w:hAnsi="Arial"/>
        </w:rPr>
        <w:t>A vigência do contrato se inicia com a publicação do contrato e é de 12 (doze) meses.</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O prazo de vigência da contratação é de .............................. contados do(a) ............................., prorrogável por até 10 anos, na forma dos arts. 106 e 107 da Lei n.° 14.133/2021.</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A prorrogação de que trata este item 7.4. é condicionada ao ateste, pela autoridade competente, de que as condições e os preços permanecem vantajosos para a Administração, permitida a negociação com o </w:t>
      </w:r>
      <w:r>
        <w:rPr>
          <w:rFonts w:eastAsia="Arial" w:cs="Arial" w:ascii="Arial" w:hAnsi="Arial"/>
          <w:b/>
          <w:bCs/>
          <w:i/>
          <w:iCs/>
        </w:rPr>
        <w:t>CONTRATADO</w:t>
      </w:r>
      <w:r>
        <w:rPr>
          <w:rFonts w:eastAsia="Arial" w:cs="Arial" w:ascii="Arial" w:hAnsi="Arial"/>
          <w:i/>
          <w:iCs/>
        </w:rPr>
        <w:t>, atentando, ainda, para o cumprimento dos seguintes requisitos:</w:t>
      </w:r>
    </w:p>
    <w:p>
      <w:pPr>
        <w:pStyle w:val="normal1"/>
        <w:widowControl/>
        <w:numPr>
          <w:ilvl w:val="1"/>
          <w:numId w:val="28"/>
        </w:numPr>
        <w:spacing w:lineRule="auto" w:line="360"/>
        <w:ind w:firstLine="357" w:start="283"/>
        <w:jc w:val="both"/>
        <w:rPr>
          <w:rFonts w:ascii="Arial" w:hAnsi="Arial" w:eastAsia="Arial" w:cs="Arial"/>
          <w:i/>
          <w:iCs/>
        </w:rPr>
      </w:pPr>
      <w:r>
        <w:rPr>
          <w:rFonts w:eastAsia="Arial" w:cs="Arial" w:ascii="Arial" w:hAnsi="Arial"/>
          <w:i/>
          <w:iCs/>
        </w:rPr>
        <w:t>Estar formalmente demonstrado no processo que a forma de prestação dos serviços tem natureza continuada;</w:t>
      </w:r>
    </w:p>
    <w:p>
      <w:pPr>
        <w:pStyle w:val="normal1"/>
        <w:widowControl/>
        <w:numPr>
          <w:ilvl w:val="1"/>
          <w:numId w:val="28"/>
        </w:numPr>
        <w:spacing w:lineRule="auto" w:line="360"/>
        <w:ind w:firstLine="357" w:start="283"/>
        <w:jc w:val="both"/>
        <w:rPr>
          <w:rFonts w:ascii="Arial" w:hAnsi="Arial" w:eastAsia="Arial" w:cs="Arial"/>
          <w:i/>
          <w:iCs/>
        </w:rPr>
      </w:pPr>
      <w:r>
        <w:rPr>
          <w:rFonts w:eastAsia="Arial" w:cs="Arial" w:ascii="Arial" w:hAnsi="Arial"/>
          <w:i/>
          <w:iCs/>
        </w:rPr>
        <w:t xml:space="preserve">Seja juntado relatório que discorra sobre a execução do contrato, com informações de que os serviços tenham sido prestados regularmente;  </w:t>
      </w:r>
    </w:p>
    <w:p>
      <w:pPr>
        <w:pStyle w:val="normal1"/>
        <w:widowControl/>
        <w:numPr>
          <w:ilvl w:val="1"/>
          <w:numId w:val="28"/>
        </w:numPr>
        <w:spacing w:lineRule="auto" w:line="360"/>
        <w:ind w:firstLine="357" w:start="283"/>
        <w:jc w:val="both"/>
        <w:rPr>
          <w:rFonts w:ascii="Arial" w:hAnsi="Arial" w:eastAsia="Arial" w:cs="Arial"/>
          <w:i/>
          <w:iCs/>
        </w:rPr>
      </w:pPr>
      <w:r>
        <w:rPr>
          <w:rFonts w:eastAsia="Arial" w:cs="Arial" w:ascii="Arial" w:hAnsi="Arial"/>
          <w:i/>
          <w:iCs/>
        </w:rPr>
        <w:t xml:space="preserve">Seja juntada justificativa e motivo, por escrito, de que a Administração mantém interesse na realização do serviço;  </w:t>
      </w:r>
    </w:p>
    <w:p>
      <w:pPr>
        <w:pStyle w:val="normal1"/>
        <w:widowControl/>
        <w:numPr>
          <w:ilvl w:val="1"/>
          <w:numId w:val="28"/>
        </w:numPr>
        <w:spacing w:lineRule="auto" w:line="360"/>
        <w:ind w:firstLine="357" w:start="283"/>
        <w:jc w:val="both"/>
        <w:rPr>
          <w:rFonts w:ascii="Arial" w:hAnsi="Arial" w:eastAsia="Arial" w:cs="Arial"/>
          <w:i/>
          <w:iCs/>
        </w:rPr>
      </w:pPr>
      <w:r>
        <w:rPr>
          <w:rFonts w:eastAsia="Arial" w:cs="Arial" w:ascii="Arial" w:hAnsi="Arial"/>
          <w:i/>
          <w:iCs/>
        </w:rPr>
        <w:t xml:space="preserve">Haja manifestação expressa do </w:t>
      </w:r>
      <w:r>
        <w:rPr>
          <w:rFonts w:eastAsia="Arial" w:cs="Arial" w:ascii="Arial" w:hAnsi="Arial"/>
          <w:b/>
          <w:bCs/>
          <w:i/>
          <w:iCs/>
        </w:rPr>
        <w:t xml:space="preserve">CONTRATADO </w:t>
      </w:r>
      <w:r>
        <w:rPr>
          <w:rFonts w:eastAsia="Arial" w:cs="Arial" w:ascii="Arial" w:hAnsi="Arial"/>
          <w:i/>
          <w:iCs/>
        </w:rPr>
        <w:t xml:space="preserve">informando o interesse na prorrogação; </w:t>
      </w:r>
    </w:p>
    <w:p>
      <w:pPr>
        <w:pStyle w:val="normal1"/>
        <w:widowControl/>
        <w:numPr>
          <w:ilvl w:val="1"/>
          <w:numId w:val="28"/>
        </w:numPr>
        <w:spacing w:lineRule="auto" w:line="360"/>
        <w:ind w:firstLine="357" w:start="283"/>
        <w:jc w:val="both"/>
        <w:rPr>
          <w:rFonts w:ascii="Arial" w:hAnsi="Arial" w:eastAsia="Arial" w:cs="Arial"/>
          <w:i/>
          <w:iCs/>
        </w:rPr>
      </w:pPr>
      <w:r>
        <w:rPr>
          <w:rFonts w:eastAsia="Arial" w:cs="Arial" w:ascii="Arial" w:hAnsi="Arial"/>
          <w:i/>
          <w:iCs/>
        </w:rPr>
        <w:t xml:space="preserve">Seja comprovado que o </w:t>
      </w:r>
      <w:r>
        <w:rPr>
          <w:rFonts w:eastAsia="Arial" w:cs="Arial" w:ascii="Arial" w:hAnsi="Arial"/>
          <w:b/>
          <w:bCs/>
          <w:i/>
          <w:iCs/>
        </w:rPr>
        <w:t xml:space="preserve">CONTRATADO </w:t>
      </w:r>
      <w:r>
        <w:rPr>
          <w:rFonts w:eastAsia="Arial" w:cs="Arial" w:ascii="Arial" w:hAnsi="Arial"/>
          <w:i/>
          <w:iCs/>
        </w:rPr>
        <w:t>mantém as condições iniciais de habilitação.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Os contratos terão eficácia a partir de sua  publicação na imprensa oficial.</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Exceção se aplica aos contratos emergenciais, os quais, conforme o §1º do art. 94 da Lei nº 14.133/21, terão eficácia a partir de sua assinatura e deverão ser publicados nos prazos previstos nos incisos I e II do caput deste artigo, sob pena de nulidade.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CONTRATADO </w:t>
      </w:r>
      <w:r>
        <w:rPr>
          <w:rFonts w:eastAsia="Arial" w:cs="Arial" w:ascii="Arial" w:hAnsi="Arial"/>
        </w:rPr>
        <w:t>não tem direito subjetivo à prorrogação contratual.</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 prorrogação de contrato deverá ser promovida mediante celebração de termo aditivo.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Nas eventuais prorrogações contratuais, os custos não renováveis já pagos ou amortizados ao longo do primeiro período de vigência da contratação deverão ser reduzidos ou eliminados como condição para a renovação.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contrato não poderá ser prorrogado quando o </w:t>
      </w:r>
      <w:r>
        <w:rPr>
          <w:rFonts w:eastAsia="Arial" w:cs="Arial" w:ascii="Arial" w:hAnsi="Arial"/>
          <w:b/>
          <w:bCs/>
        </w:rPr>
        <w:t xml:space="preserve">CONTRATADO </w:t>
      </w:r>
      <w:r>
        <w:rPr>
          <w:rFonts w:eastAsia="Arial" w:cs="Arial" w:ascii="Arial" w:hAnsi="Arial"/>
        </w:rPr>
        <w:t>tiver sido penalizado nas sanções de declaração de inidoneidade ou impedimento de licitar e contratar com poder público, observadas as abrangências de aplicação.</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OITAVA – SUBCONTRATAÇÃO</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É permitida a subcontratação parcial do objeto, até o limite de ......% (..... por cento) do valor total do contrato, nas seguintes condições:</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É vedada a subcontratação completa ou da parcela principal da obrigação, abaixo discriminada:</w:t>
      </w:r>
    </w:p>
    <w:p>
      <w:pPr>
        <w:pStyle w:val="normal1"/>
        <w:widowControl/>
        <w:spacing w:lineRule="auto" w:line="360"/>
        <w:jc w:val="both"/>
        <w:rPr>
          <w:rFonts w:ascii="Arial" w:hAnsi="Arial" w:eastAsia="Arial" w:cs="Arial"/>
          <w:i/>
          <w:iCs/>
        </w:rPr>
      </w:pPr>
      <w:r>
        <w:rPr>
          <w:rFonts w:eastAsia="Arial" w:cs="Arial" w:ascii="Arial" w:hAnsi="Arial"/>
          <w:i/>
          <w:iCs/>
        </w:rPr>
        <w:t>...</w:t>
      </w:r>
    </w:p>
    <w:p>
      <w:pPr>
        <w:pStyle w:val="normal1"/>
        <w:widowControl/>
        <w:spacing w:lineRule="auto" w:line="360"/>
        <w:jc w:val="both"/>
        <w:rPr>
          <w:rFonts w:ascii="Arial" w:hAnsi="Arial" w:eastAsia="Arial" w:cs="Arial"/>
          <w:i/>
          <w:iCs/>
        </w:rPr>
      </w:pPr>
      <w:r>
        <w:rPr>
          <w:rFonts w:eastAsia="Arial" w:cs="Arial" w:ascii="Arial" w:hAnsi="Arial"/>
          <w:i/>
          <w:iCs/>
        </w:rPr>
        <w:t>...e</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Poderão ser subcontratadas as seguintes parcelas do objeto: </w:t>
      </w:r>
    </w:p>
    <w:p>
      <w:pPr>
        <w:pStyle w:val="normal1"/>
        <w:widowControl/>
        <w:spacing w:lineRule="auto" w:line="360"/>
        <w:jc w:val="both"/>
        <w:rPr>
          <w:rFonts w:ascii="Arial" w:hAnsi="Arial" w:eastAsia="Arial" w:cs="Arial"/>
          <w:i/>
          <w:iCs/>
        </w:rPr>
      </w:pPr>
      <w:r>
        <w:rPr>
          <w:rFonts w:eastAsia="Arial" w:cs="Arial" w:ascii="Arial" w:hAnsi="Arial"/>
          <w:i/>
          <w:iCs/>
        </w:rPr>
        <w:t xml:space="preserve">... </w:t>
      </w:r>
    </w:p>
    <w:p>
      <w:pPr>
        <w:pStyle w:val="normal1"/>
        <w:widowControl/>
        <w:spacing w:lineRule="auto" w:line="360"/>
        <w:jc w:val="both"/>
        <w:rPr>
          <w:rFonts w:ascii="Arial" w:hAnsi="Arial" w:eastAsia="Arial" w:cs="Arial"/>
          <w:i/>
          <w:iCs/>
        </w:rPr>
      </w:pPr>
      <w:r>
        <w:rPr>
          <w:rFonts w:eastAsia="Arial" w:cs="Arial" w:ascii="Arial" w:hAnsi="Arial"/>
          <w:i/>
          <w:iCs/>
        </w:rPr>
        <w:t>...</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Em qualquer hipótese de subcontratação, permanece a responsabilidade integral do </w:t>
      </w:r>
      <w:r>
        <w:rPr>
          <w:rFonts w:eastAsia="Arial" w:cs="Arial" w:ascii="Arial" w:hAnsi="Arial"/>
          <w:b/>
          <w:bCs/>
          <w:i/>
          <w:iCs/>
        </w:rPr>
        <w:t xml:space="preserve">CONTRATADO </w:t>
      </w:r>
      <w:r>
        <w:rPr>
          <w:rFonts w:eastAsia="Arial" w:cs="Arial" w:ascii="Arial" w:hAnsi="Arial"/>
          <w:i/>
          <w:iCs/>
        </w:rPr>
        <w:t xml:space="preserve">pela perfeita execução contratual, cabendo-lhe realizar a supervisão e coordenação das atividades do </w:t>
      </w:r>
      <w:r>
        <w:rPr>
          <w:rFonts w:eastAsia="Arial" w:cs="Arial" w:ascii="Arial" w:hAnsi="Arial"/>
          <w:b/>
          <w:bCs/>
          <w:i/>
          <w:iCs/>
        </w:rPr>
        <w:t>SUBCONTRATADO</w:t>
      </w:r>
      <w:r>
        <w:rPr>
          <w:rFonts w:eastAsia="Arial" w:cs="Arial" w:ascii="Arial" w:hAnsi="Arial"/>
          <w:i/>
          <w:iCs/>
        </w:rPr>
        <w:t xml:space="preserve">, bem como responder perante o </w:t>
      </w:r>
      <w:r>
        <w:rPr>
          <w:rFonts w:eastAsia="Arial" w:cs="Arial" w:ascii="Arial" w:hAnsi="Arial"/>
          <w:b/>
          <w:bCs/>
          <w:i/>
          <w:iCs/>
        </w:rPr>
        <w:t xml:space="preserve">CONTRATANTE </w:t>
      </w:r>
      <w:r>
        <w:rPr>
          <w:rFonts w:eastAsia="Arial" w:cs="Arial" w:ascii="Arial" w:hAnsi="Arial"/>
          <w:i/>
          <w:iCs/>
        </w:rPr>
        <w:t>pelo rigoroso cumprimento das obrigações contratuais correspondentes ao objeto da subcontratação.</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A subcontratação depende de autorização prévia do </w:t>
      </w:r>
      <w:r>
        <w:rPr>
          <w:rFonts w:eastAsia="Arial" w:cs="Arial" w:ascii="Arial" w:hAnsi="Arial"/>
          <w:b/>
          <w:bCs/>
          <w:i/>
          <w:iCs/>
        </w:rPr>
        <w:t>CONTRATANTE</w:t>
      </w:r>
      <w:r>
        <w:rPr>
          <w:rFonts w:eastAsia="Arial" w:cs="Arial" w:ascii="Arial" w:hAnsi="Arial"/>
          <w:i/>
          <w:iCs/>
        </w:rPr>
        <w:t xml:space="preserve">, a quem incumbe avaliar se o </w:t>
      </w:r>
      <w:r>
        <w:rPr>
          <w:rFonts w:eastAsia="Arial" w:cs="Arial" w:ascii="Arial" w:hAnsi="Arial"/>
          <w:b/>
          <w:bCs/>
          <w:i/>
          <w:iCs/>
        </w:rPr>
        <w:t xml:space="preserve">SUBCONTRATADO </w:t>
      </w:r>
      <w:r>
        <w:rPr>
          <w:rFonts w:eastAsia="Arial" w:cs="Arial" w:ascii="Arial" w:hAnsi="Arial"/>
          <w:i/>
          <w:iCs/>
        </w:rPr>
        <w:t>cumpre os requisitos de qualificação técnica necessários para a execução do objeto.</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O </w:t>
      </w:r>
      <w:r>
        <w:rPr>
          <w:rFonts w:eastAsia="Arial" w:cs="Arial" w:ascii="Arial" w:hAnsi="Arial"/>
          <w:b/>
          <w:bCs/>
          <w:i/>
          <w:iCs/>
        </w:rPr>
        <w:t xml:space="preserve">CONTRATADO </w:t>
      </w:r>
      <w:r>
        <w:rPr>
          <w:rFonts w:eastAsia="Arial" w:cs="Arial" w:ascii="Arial" w:hAnsi="Arial"/>
          <w:i/>
          <w:iCs/>
        </w:rPr>
        <w:t xml:space="preserve">apresentará à Administração documentação que comprove a capacidade técnica do </w:t>
      </w:r>
      <w:r>
        <w:rPr>
          <w:rFonts w:eastAsia="Arial" w:cs="Arial" w:ascii="Arial" w:hAnsi="Arial"/>
          <w:b/>
          <w:bCs/>
          <w:i/>
          <w:iCs/>
        </w:rPr>
        <w:t>SUBCONTRATADO</w:t>
      </w:r>
      <w:r>
        <w:rPr>
          <w:rFonts w:eastAsia="Arial" w:cs="Arial" w:ascii="Arial" w:hAnsi="Arial"/>
          <w:i/>
          <w:iCs/>
        </w:rPr>
        <w:t>, que será avaliada e juntada aos autos do processo correspondente.</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Caso tenha sido formulada no Termo de Referência a exigência de subcontratação de microempresas ou empresas de pequeno porte (Art. 48, II, da Lei Complementar n.º 123, de 2006, e art. 7º, do Decreto n.º 8.538, de 2015), além do regramento acima, deverão ser observadas as seguintes disposições específicas:</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O </w:t>
      </w:r>
      <w:r>
        <w:rPr>
          <w:rFonts w:eastAsia="Arial" w:cs="Arial" w:ascii="Arial" w:hAnsi="Arial"/>
          <w:b/>
          <w:bCs/>
          <w:i/>
          <w:iCs/>
        </w:rPr>
        <w:t xml:space="preserve">CONTRATADO </w:t>
      </w:r>
      <w:r>
        <w:rPr>
          <w:rFonts w:eastAsia="Arial" w:cs="Arial" w:ascii="Arial" w:hAnsi="Arial"/>
          <w:i/>
          <w:iCs/>
        </w:rPr>
        <w:t>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O </w:t>
      </w:r>
      <w:r>
        <w:rPr>
          <w:rFonts w:eastAsia="Arial" w:cs="Arial" w:ascii="Arial" w:hAnsi="Arial"/>
          <w:b/>
          <w:bCs/>
          <w:i/>
          <w:iCs/>
        </w:rPr>
        <w:t xml:space="preserve">CONTRATADO </w:t>
      </w:r>
      <w:r>
        <w:rPr>
          <w:rFonts w:eastAsia="Arial" w:cs="Arial" w:ascii="Arial" w:hAnsi="Arial"/>
          <w:i/>
          <w:iCs/>
        </w:rPr>
        <w:t xml:space="preserve">deverá a substituir a subcontratada, no prazo máximo de 30 (trinta) dias, na hipótese de extinção da subcontratação, mantendo o percentual originalmente </w:t>
      </w:r>
      <w:r>
        <w:rPr>
          <w:rFonts w:eastAsia="Arial" w:cs="Arial" w:ascii="Arial" w:hAnsi="Arial"/>
          <w:b/>
          <w:bCs/>
          <w:i/>
          <w:iCs/>
        </w:rPr>
        <w:t xml:space="preserve">SUBCONTRATADO </w:t>
      </w:r>
      <w:r>
        <w:rPr>
          <w:rFonts w:eastAsia="Arial" w:cs="Arial" w:ascii="Arial" w:hAnsi="Arial"/>
          <w:i/>
          <w:iCs/>
        </w:rPr>
        <w:t xml:space="preserve">até a sua execução total, notificando o </w:t>
      </w:r>
      <w:r>
        <w:rPr>
          <w:rFonts w:eastAsia="Arial" w:cs="Arial" w:ascii="Arial" w:hAnsi="Arial"/>
          <w:b/>
          <w:bCs/>
          <w:i/>
          <w:iCs/>
        </w:rPr>
        <w:t>CONTRATANTE</w:t>
      </w:r>
      <w:r>
        <w:rPr>
          <w:rFonts w:eastAsia="Arial" w:cs="Arial" w:ascii="Arial" w:hAnsi="Arial"/>
          <w:i/>
          <w:iCs/>
        </w:rPr>
        <w:t>, sob pena de rescisão, sem prejuízo das sanções cabíveis, ou a demonstrar a inviabilidade da substituição, hipótese em que ficará responsável pela execução da parcela originalmente subcontratada; e</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O </w:t>
      </w:r>
      <w:r>
        <w:rPr>
          <w:rFonts w:eastAsia="Arial" w:cs="Arial" w:ascii="Arial" w:hAnsi="Arial"/>
          <w:b/>
          <w:bCs/>
          <w:i/>
          <w:iCs/>
        </w:rPr>
        <w:t xml:space="preserve">CONTRATADO </w:t>
      </w:r>
      <w:r>
        <w:rPr>
          <w:rFonts w:eastAsia="Arial" w:cs="Arial" w:ascii="Arial" w:hAnsi="Arial"/>
          <w:i/>
          <w:iCs/>
        </w:rPr>
        <w:t>será responsável pela padronização, pela compatibilidade, pelo gerenciamento centralizado e pela qualidade da subcontratação.</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Os empenhos e pagamentos referentes às parcelas subcontratadas serão destinados diretamente às microempresas e empresas de pequeno porte subcontratadas.</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NONA – RECURSOS PARA ATENDER AS DESPESAS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As despesas decorrentes da presente contratação correrão à conta de recursos específicos consignados no orçamento xxxxxxxxxxxxxxx deste exercício, na dotação abaixo discriminada:</w:t>
      </w:r>
    </w:p>
    <w:p>
      <w:pPr>
        <w:pStyle w:val="normal1"/>
        <w:widowControl/>
        <w:numPr>
          <w:ilvl w:val="0"/>
          <w:numId w:val="21"/>
        </w:numPr>
        <w:spacing w:lineRule="auto" w:line="360"/>
        <w:ind w:firstLine="527" w:start="567"/>
        <w:jc w:val="both"/>
        <w:rPr>
          <w:b w:val="false"/>
          <w:bCs w:val="false"/>
        </w:rPr>
      </w:pPr>
      <w:r>
        <w:rPr>
          <w:rFonts w:eastAsia="Arial" w:cs="Arial" w:ascii="Arial" w:hAnsi="Arial"/>
        </w:rPr>
        <w:t xml:space="preserve">Órgão/Unidade: </w:t>
      </w:r>
    </w:p>
    <w:p>
      <w:pPr>
        <w:pStyle w:val="normal1"/>
        <w:widowControl/>
        <w:numPr>
          <w:ilvl w:val="0"/>
          <w:numId w:val="21"/>
        </w:numPr>
        <w:spacing w:lineRule="auto" w:line="360"/>
        <w:ind w:firstLine="527" w:start="567"/>
        <w:jc w:val="both"/>
        <w:rPr>
          <w:b w:val="false"/>
          <w:bCs w:val="false"/>
        </w:rPr>
      </w:pPr>
      <w:r>
        <w:rPr>
          <w:rFonts w:eastAsia="Arial" w:cs="Arial" w:ascii="Arial" w:hAnsi="Arial"/>
        </w:rPr>
        <w:t xml:space="preserve">Projeto/Atividade: </w:t>
      </w:r>
    </w:p>
    <w:p>
      <w:pPr>
        <w:pStyle w:val="normal1"/>
        <w:widowControl/>
        <w:numPr>
          <w:ilvl w:val="0"/>
          <w:numId w:val="21"/>
        </w:numPr>
        <w:spacing w:lineRule="auto" w:line="360"/>
        <w:ind w:firstLine="527" w:start="567"/>
        <w:jc w:val="both"/>
        <w:rPr>
          <w:b w:val="false"/>
          <w:bCs w:val="false"/>
        </w:rPr>
      </w:pPr>
      <w:r>
        <w:rPr>
          <w:rFonts w:eastAsia="Arial" w:cs="Arial" w:ascii="Arial" w:hAnsi="Arial"/>
        </w:rPr>
        <w:t xml:space="preserve">Elemento de Despesa: </w:t>
      </w:r>
    </w:p>
    <w:p>
      <w:pPr>
        <w:pStyle w:val="normal1"/>
        <w:widowControl/>
        <w:numPr>
          <w:ilvl w:val="0"/>
          <w:numId w:val="21"/>
        </w:numPr>
        <w:spacing w:lineRule="auto" w:line="360"/>
        <w:ind w:firstLine="527" w:start="567"/>
        <w:jc w:val="both"/>
        <w:rPr>
          <w:b w:val="false"/>
          <w:bCs w:val="false"/>
        </w:rPr>
      </w:pPr>
      <w:r>
        <w:rPr>
          <w:rFonts w:eastAsia="Arial" w:cs="Arial" w:ascii="Arial" w:hAnsi="Arial"/>
        </w:rPr>
        <w:t xml:space="preserve">Fonte de Recurso: </w:t>
      </w:r>
    </w:p>
    <w:p>
      <w:pPr>
        <w:pStyle w:val="normal1"/>
        <w:widowControl/>
        <w:numPr>
          <w:ilvl w:val="0"/>
          <w:numId w:val="21"/>
        </w:numPr>
        <w:spacing w:lineRule="auto" w:line="360"/>
        <w:ind w:firstLine="527" w:start="567"/>
        <w:jc w:val="both"/>
        <w:rPr>
          <w:b w:val="false"/>
          <w:bCs w:val="false"/>
        </w:rPr>
      </w:pPr>
      <w:r>
        <w:rPr>
          <w:rFonts w:eastAsia="Arial" w:cs="Arial" w:ascii="Arial" w:hAnsi="Arial"/>
        </w:rPr>
        <w:t>Funcional:</w:t>
      </w:r>
    </w:p>
    <w:p>
      <w:pPr>
        <w:pStyle w:val="normal1"/>
        <w:widowControl/>
        <w:spacing w:lineRule="auto" w:line="360"/>
        <w:jc w:val="both"/>
        <w:rPr>
          <w:rFonts w:ascii="Arial" w:hAnsi="Arial" w:eastAsia="Arial" w:cs="Arial"/>
          <w:i/>
          <w:iCs/>
        </w:rPr>
      </w:pPr>
      <w:r>
        <w:rPr>
          <w:rFonts w:eastAsia="Arial" w:cs="Arial" w:ascii="Arial" w:hAnsi="Arial"/>
        </w:rPr>
        <w:t xml:space="preserve">Parágrafo Único: </w:t>
      </w:r>
      <w:r>
        <w:rPr>
          <w:rFonts w:eastAsia="Arial" w:cs="Arial" w:ascii="Arial" w:hAnsi="Arial"/>
          <w:i/>
          <w:iCs/>
        </w:rPr>
        <w:t>A dotação relativa aos exercícios financeiros subsequentes será indicada após aprovação da Lei Orçamentária respectiva e liberação dos créditos correspondentes, mediante apostilamento.</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 GESTÃO E FISCALIZAÇÃO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CONTRATANTE exercerá ampla gestão e fiscalização do objeto </w:t>
      </w:r>
      <w:r>
        <w:rPr>
          <w:rFonts w:eastAsia="Arial" w:cs="Arial" w:ascii="Arial" w:hAnsi="Arial"/>
          <w:b/>
          <w:bCs/>
        </w:rPr>
        <w:t>CONTRATADO</w:t>
      </w:r>
      <w:r>
        <w:rPr>
          <w:rFonts w:eastAsia="Arial" w:cs="Arial" w:ascii="Arial" w:hAnsi="Arial"/>
        </w:rPr>
        <w:t xml:space="preserve">, o que em nenhuma hipótese eximirá a </w:t>
      </w:r>
      <w:r>
        <w:rPr>
          <w:rFonts w:eastAsia="Arial" w:cs="Arial" w:ascii="Arial" w:hAnsi="Arial"/>
          <w:b/>
          <w:bCs/>
        </w:rPr>
        <w:t xml:space="preserve">CONTRATADA </w:t>
      </w:r>
      <w:r>
        <w:rPr>
          <w:rFonts w:eastAsia="Arial" w:cs="Arial" w:ascii="Arial" w:hAnsi="Arial"/>
        </w:rPr>
        <w:t>das responsabilidades fixadas pelo Código Civil e pelo Código de Defesa do Consumidor.</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 gestão contratual caberá à autoridade competente da pasta, sendo de sua competência:</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Coordenar as atividades relacionadas à fiscalização técnica, administrativa e setorial;</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Acompanhar os registros realizados pelos fiscais do contrato das ocorrências relacionadas à execução do contrato e as medidas adotadas, e informar à autoridade superior do município aquelas que ultrapassarem a sua competência;</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Acompanhar a manutenção das condições de habilitação do contratado, para fins de empenho de despesa e de pagamento, e anotar os problemas que obstem o fluxo normal da liquidação e do pagamento da despesa no relatório de riscos eventuais;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Coordenar os atos preparatórios à instrução processual e ao envio da documentação pertinente ao setor de contratos para a formalização dos procedimentos relativos à prorrogação, à alteração, ao reequilíbrio, ao pagamento, à eventual aplicação de sanções e a extinção dos contratos;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Elaborar o relatório final de que trata a alínea “d” do inciso VI do § 3º do art. 174 da Lei nº 14.133, de 2021, com as informações obtidas durante a execução do contrato;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Realizar o recebimento definitivo do objeto do contrato referido no art. 25 da Lei nº 14.133, de 2021, mediante termo detalhado que comprove o atendimento das exigências contratuais; e</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Tomar providências para a formalização de processo administrativo de responsabilização para fins de aplicação de sanções, de que trata o art. 158 da Lei nº 14.133, de 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 fiscalização contratual ocorrerá simultaneamente por dois servidores designados, sempre que necessário; sendo o FISCAL ADMINISTRATIVO e o FISCAL TÉCNICO. A atribuição de Fiscal Técnico deverá ser exercida por servidor designado de cargo técnico, conforme atribuições descritas no Manual De Fiscalização de Contratos da Prefeitura de Florianópolis (de Outubro de 2020).</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Compete ao fiscal técnico: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O fiscal técnico do contrato acompanhará a execução do contrato, para que sejam cumpridas todas as condições estabelecidas no contrato, de modo a assegurar os melhores resultados para a Administração.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fiscalização técnica dos contratos deve avaliar constantemente através do Instrumento de Medição de Resultado (IMR), caso haja previsão no ETP para aferição da qualidade da prestação dos serviços, devendo haver o redimensionamento no pagamento com base nos indicadores estabelecidos.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O fiscal técnico do contrato deverá apresentar ao preposto da contratada a avaliação da execução do objeto ou, se for o caso, a avaliação de desempenho e qualidade da prestação dos serviços realizada.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Na hipótese de comportamento contínuo de desconformidade da prestação do serviço em relação à qualidade exigida, bem como quando esta ultrapassar os níveis mínimos toleráveis previstos nos indicadores, além dos fatores redutores, deve ser aplicado às sanções à contratada de acordo com as regras previstas no ato convocatório.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É vedada a atribuição à contratada da avaliação de desempenho e qualidade da prestação dos serviços por ela realizada.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O fiscal técnico poderá realizar a avaliação diária, semanal ou mensal, desde que o período escolhido seja suficiente para avaliar ou, se for o caso, aferir o desempenho e qualidade da prestação dos serviços.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conformidade do material/técnica/equipamento a ser utilizado na execução dos serviços deverá ser verificada juntamente com o documento da Contratada que contenha a relação detalhada destes, de acordo com o estabelecido no edital e na proposta, informando as respectivas quantidades e especificações técnicas, tais como: marca, qualidade e forma de uso. (art. 47, §2º, IN 05/2017)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fiscalização de que trata esta cláusula não exclui nem reduz a responsabilidade da Contratada, inclusive perante terceiros, por qualquer irregularidade, ainda que resultante de imperfeições técnicas, vícios anuláveis, ou emprego de material inadequado ou de qualidade inferior e, na ocorrência desta, não implica corresponsabilidade da </w:t>
      </w:r>
      <w:r>
        <w:rPr>
          <w:rFonts w:eastAsia="Arial" w:cs="Arial" w:ascii="Arial" w:hAnsi="Arial"/>
          <w:b/>
          <w:bCs/>
        </w:rPr>
        <w:t xml:space="preserve">CONTRATANTE </w:t>
      </w:r>
      <w:r>
        <w:rPr>
          <w:rFonts w:eastAsia="Arial" w:cs="Arial" w:ascii="Arial" w:hAnsi="Arial"/>
        </w:rPr>
        <w:t xml:space="preserve">ou de seus agentes, gestores e fiscais, de conformidade.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Identificada qualquer inexatidão ou irregularidade, o fiscal técnico do contrato emitirá notificações para a correção da execução do contrato, determinando prazo para a correção. (Decreto nº 11.246, de 2022, art. 22, III)</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 </w:t>
      </w:r>
      <w:r>
        <w:rPr>
          <w:rFonts w:eastAsia="Arial" w:cs="Arial" w:ascii="Arial" w:hAnsi="Arial"/>
        </w:rPr>
        <w:t xml:space="preserve">No caso de ocorrências que possam inviabilizar a execução do contrato nas datas aprazadas, o fiscal técnico do contrato comunicará o fato imediatamente ao gestor do contrato. (Decreto nº 11.246, de 2022, art. 22, V);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O fiscal técnico do contrato comunicará ao gestor do contrato, em tempo hábil, o término do contrato sob sua responsabilidade, com vistas à tempestiva renovação ou à prorrogação contratual (Decreto nº 11.246, de 2022, art. 22, VII).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Compete ao fiscal administrativo: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fiscalização administrativa poderá ser efetivada com base em critérios estatísticos, levando-se em consideração falhas que impactem o contrato como um todo e não apenas erros e falhas eventuais no pagamento de alguma vantagem a um determinado empregado. </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Na fiscalização do cumprimento das obrigações trabalhistas e sociais exigir-se-á, dentre outras, as seguintes comprovações, com a entrega até o dia trinta do mês seguinte ao da prestação dos serviços ao setor responsável pela fiscalização do contrato dos seguintes documentos, quando não for possível a verificação da regularidade destes no Sistema de Cadastro de Fornecedores (Sicaf):</w:t>
      </w:r>
    </w:p>
    <w:p>
      <w:pPr>
        <w:pStyle w:val="normal1"/>
        <w:widowControl/>
        <w:numPr>
          <w:ilvl w:val="1"/>
          <w:numId w:val="22"/>
        </w:numPr>
        <w:spacing w:lineRule="auto" w:line="360"/>
        <w:ind w:firstLine="527" w:start="567"/>
        <w:jc w:val="both"/>
        <w:rPr>
          <w:rFonts w:ascii="Arial" w:hAnsi="Arial" w:eastAsia="Arial" w:cs="Arial"/>
        </w:rPr>
      </w:pPr>
      <w:r>
        <w:rPr>
          <w:rFonts w:eastAsia="Arial" w:cs="Arial" w:ascii="Arial" w:hAnsi="Arial"/>
        </w:rPr>
        <w:t>Certidão Negativa de Débitos relativos a Créditos Tributários Federais e à Dívida Ativa da União (CND);</w:t>
      </w:r>
    </w:p>
    <w:p>
      <w:pPr>
        <w:pStyle w:val="normal1"/>
        <w:widowControl/>
        <w:numPr>
          <w:ilvl w:val="1"/>
          <w:numId w:val="22"/>
        </w:numPr>
        <w:spacing w:lineRule="auto" w:line="360"/>
        <w:ind w:firstLine="527" w:start="567"/>
        <w:jc w:val="both"/>
        <w:rPr>
          <w:rFonts w:ascii="Arial" w:hAnsi="Arial" w:eastAsia="Arial" w:cs="Arial"/>
        </w:rPr>
      </w:pPr>
      <w:r>
        <w:rPr>
          <w:rFonts w:eastAsia="Arial" w:cs="Arial" w:ascii="Arial" w:hAnsi="Arial"/>
        </w:rPr>
        <w:t xml:space="preserve">Certidões que comprovem a regularidade perante as Fazendas Estadual, Distrital e Municipal do domicílio ou sede do </w:t>
      </w:r>
      <w:r>
        <w:rPr>
          <w:rFonts w:eastAsia="Arial" w:cs="Arial" w:ascii="Arial" w:hAnsi="Arial"/>
          <w:b/>
          <w:bCs/>
        </w:rPr>
        <w:t>CONTRATADO</w:t>
      </w:r>
      <w:r>
        <w:rPr>
          <w:rFonts w:eastAsia="Arial" w:cs="Arial" w:ascii="Arial" w:hAnsi="Arial"/>
        </w:rPr>
        <w:t>;</w:t>
      </w:r>
    </w:p>
    <w:p>
      <w:pPr>
        <w:pStyle w:val="normal1"/>
        <w:widowControl/>
        <w:numPr>
          <w:ilvl w:val="1"/>
          <w:numId w:val="22"/>
        </w:numPr>
        <w:spacing w:lineRule="auto" w:line="360"/>
        <w:ind w:firstLine="527" w:start="567"/>
        <w:jc w:val="both"/>
        <w:rPr>
          <w:rFonts w:ascii="Arial" w:hAnsi="Arial" w:eastAsia="Arial" w:cs="Arial"/>
        </w:rPr>
      </w:pPr>
      <w:r>
        <w:rPr>
          <w:rFonts w:eastAsia="Arial" w:cs="Arial" w:ascii="Arial" w:hAnsi="Arial"/>
        </w:rPr>
        <w:t xml:space="preserve">Certidão de Regularidade do FGTS (CRF); e </w:t>
      </w:r>
    </w:p>
    <w:p>
      <w:pPr>
        <w:pStyle w:val="normal1"/>
        <w:widowControl/>
        <w:numPr>
          <w:ilvl w:val="1"/>
          <w:numId w:val="22"/>
        </w:numPr>
        <w:spacing w:lineRule="auto" w:line="360"/>
        <w:ind w:firstLine="527" w:start="567"/>
        <w:jc w:val="both"/>
        <w:rPr>
          <w:rFonts w:ascii="Arial" w:hAnsi="Arial" w:eastAsia="Arial" w:cs="Arial"/>
        </w:rPr>
      </w:pPr>
      <w:r>
        <w:rPr>
          <w:rFonts w:eastAsia="Arial" w:cs="Arial" w:ascii="Arial" w:hAnsi="Arial"/>
        </w:rPr>
        <w:t>Certidão Negativa de Débitos Trabalhistas (CNDT).</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 </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PRIMEIRA – RESPONSABILIDADES DO CONTRATANTE (Art. 92, X, XI e XIV,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São obrigações do </w:t>
      </w:r>
      <w:r>
        <w:rPr>
          <w:rFonts w:eastAsia="Arial" w:cs="Arial" w:ascii="Arial" w:hAnsi="Arial"/>
          <w:b/>
          <w:bCs/>
        </w:rPr>
        <w:t>CONTRATANTE</w:t>
      </w:r>
      <w:r>
        <w:rPr>
          <w:rFonts w:eastAsia="Arial" w:cs="Arial" w:ascii="Arial" w:hAnsi="Arial"/>
        </w:rPr>
        <w:t>, além das previstas no Termo de Referência: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Exigir o cumprimento de todas as obrigações assumidas pelo </w:t>
      </w:r>
      <w:r>
        <w:rPr>
          <w:rFonts w:eastAsia="Arial" w:cs="Arial" w:ascii="Arial" w:hAnsi="Arial"/>
          <w:b/>
          <w:bCs/>
        </w:rPr>
        <w:t>CONTRATADO</w:t>
      </w:r>
      <w:r>
        <w:rPr>
          <w:rFonts w:eastAsia="Arial" w:cs="Arial" w:ascii="Arial" w:hAnsi="Arial"/>
        </w:rPr>
        <w:t>, de acordo com o contrato e seus anexos;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Receber o objeto no prazo e condições estabelecidas no Termo de Referência;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Notificar o </w:t>
      </w:r>
      <w:r>
        <w:rPr>
          <w:rFonts w:eastAsia="Arial" w:cs="Arial" w:ascii="Arial" w:hAnsi="Arial"/>
          <w:b/>
          <w:bCs/>
        </w:rPr>
        <w:t xml:space="preserve">CONTRATADO </w:t>
      </w:r>
      <w:r>
        <w:rPr>
          <w:rFonts w:eastAsia="Arial" w:cs="Arial" w:ascii="Arial" w:hAnsi="Arial"/>
        </w:rPr>
        <w:t>por escrito da ocorrência de eventuais imperfeições, falhas ou irregularidades constatadas no curso da execução dos serviços, fixando prazo para a sua correção, certificando-se de que as soluções por ele propostas sejam as mais adequadas;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Notificar o </w:t>
      </w:r>
      <w:r>
        <w:rPr>
          <w:rFonts w:eastAsia="Arial" w:cs="Arial" w:ascii="Arial" w:hAnsi="Arial"/>
          <w:b/>
          <w:bCs/>
        </w:rPr>
        <w:t>CONTRATADO</w:t>
      </w:r>
      <w:r>
        <w:rPr>
          <w:rFonts w:eastAsia="Arial" w:cs="Arial" w:ascii="Arial" w:hAnsi="Arial"/>
        </w:rPr>
        <w:t>, por escrito, sobre vícios, defeitos ou incorreções verificadas no objeto fornecido, para que seja por ele substituído, reparado ou corrigido, no total ou em parte, às suas expensas;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Acompanhar e fiscalizar a execução do contrato e o cumprimento das obrigações pelo </w:t>
      </w:r>
      <w:r>
        <w:rPr>
          <w:rFonts w:eastAsia="Arial" w:cs="Arial" w:ascii="Arial" w:hAnsi="Arial"/>
          <w:b/>
          <w:bCs/>
        </w:rPr>
        <w:t>CONTRATADO</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Comunicar o </w:t>
      </w:r>
      <w:r>
        <w:rPr>
          <w:rFonts w:eastAsia="Arial" w:cs="Arial" w:ascii="Arial" w:hAnsi="Arial"/>
          <w:b/>
          <w:bCs/>
        </w:rPr>
        <w:t xml:space="preserve">CONTRATADO </w:t>
      </w:r>
      <w:r>
        <w:rPr>
          <w:rFonts w:eastAsia="Arial" w:cs="Arial" w:ascii="Arial" w:hAnsi="Arial"/>
        </w:rPr>
        <w:t>para emissão de Nota Fiscal no que se refere à parcela incontroversa da execução do objeto, para efeito de liquidação e pagamento, quando houver controvérsia sobre a execução do objeto, quanto à dimensão, qualidade e quantidade, conforme o art. 143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Efetuar o pagamento ao </w:t>
      </w:r>
      <w:r>
        <w:rPr>
          <w:rFonts w:eastAsia="Arial" w:cs="Arial" w:ascii="Arial" w:hAnsi="Arial"/>
          <w:b/>
          <w:bCs/>
        </w:rPr>
        <w:t xml:space="preserve">CONTRATADO </w:t>
      </w:r>
      <w:r>
        <w:rPr>
          <w:rFonts w:eastAsia="Arial" w:cs="Arial" w:ascii="Arial" w:hAnsi="Arial"/>
        </w:rPr>
        <w:t>do valor correspondente à execução do objeto, no prazo, forma e condições estabelecidos no presente Contrato e no Termo de Referência;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Aplicar ao </w:t>
      </w:r>
      <w:r>
        <w:rPr>
          <w:rFonts w:eastAsia="Arial" w:cs="Arial" w:ascii="Arial" w:hAnsi="Arial"/>
          <w:b/>
          <w:bCs/>
        </w:rPr>
        <w:t xml:space="preserve">CONTRATADO </w:t>
      </w:r>
      <w:r>
        <w:rPr>
          <w:rFonts w:eastAsia="Arial" w:cs="Arial" w:ascii="Arial" w:hAnsi="Arial"/>
        </w:rPr>
        <w:t xml:space="preserve">as sanções previstas na lei e neste Contrato;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Cientificar o órgão de representação pela Controladoria Geral do Município para adoção das medidas cabíveis quando do descumprimento de obrigações pelo </w:t>
      </w:r>
      <w:r>
        <w:rPr>
          <w:rFonts w:eastAsia="Arial" w:cs="Arial" w:ascii="Arial" w:hAnsi="Arial"/>
          <w:b/>
          <w:bCs/>
        </w:rPr>
        <w:t>CONTRATADO</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A Administração terá o prazo de um mês, a contar da data do protocolo do requerimento para decidir, admitida a prorrogação motivada, por igual período.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Responder eventuais pedidos de restabelecimento do equilíbrio econômico-financeiro feitos pelo </w:t>
      </w:r>
      <w:r>
        <w:rPr>
          <w:rFonts w:eastAsia="Arial" w:cs="Arial" w:ascii="Arial" w:hAnsi="Arial"/>
          <w:b/>
          <w:bCs/>
        </w:rPr>
        <w:t xml:space="preserve">CONTRATADO </w:t>
      </w:r>
      <w:r>
        <w:rPr>
          <w:rFonts w:eastAsia="Arial" w:cs="Arial" w:ascii="Arial" w:hAnsi="Arial"/>
        </w:rPr>
        <w:t>no prazo máximo de um mês;.</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Notificar os emitentes das garantias quanto ao início de processo administrativo para apuração de descumprimento de cláusulas contratuais;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Comunicar o </w:t>
      </w:r>
      <w:r>
        <w:rPr>
          <w:rFonts w:eastAsia="Arial" w:cs="Arial" w:ascii="Arial" w:hAnsi="Arial"/>
          <w:b/>
          <w:bCs/>
        </w:rPr>
        <w:t xml:space="preserve">CONTRATADO </w:t>
      </w:r>
      <w:r>
        <w:rPr>
          <w:rFonts w:eastAsia="Arial" w:cs="Arial" w:ascii="Arial" w:hAnsi="Arial"/>
        </w:rPr>
        <w:t>na hipótese de posterior alteração do projeto pelo CONTRATANTE, no caso do art. 93, §2º,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Fornecer por escrito as informações necessárias para o desenvolvimento dos serviços objeto do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Realizar avaliações periódicas da qualidade dos serviços, após seu recebimento;</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Exigir do </w:t>
      </w:r>
      <w:r>
        <w:rPr>
          <w:rFonts w:eastAsia="Arial" w:cs="Arial" w:ascii="Arial" w:hAnsi="Arial"/>
          <w:b/>
          <w:bCs/>
          <w:i/>
          <w:iCs/>
        </w:rPr>
        <w:t xml:space="preserve">CONTRATADO </w:t>
      </w:r>
      <w:r>
        <w:rPr>
          <w:rFonts w:eastAsia="Arial" w:cs="Arial" w:ascii="Arial" w:hAnsi="Arial"/>
          <w:i/>
          <w:iCs/>
        </w:rPr>
        <w:t>que providencie a seguinte documentação como condição indispensável para o recebimento definitivo de objeto, quando for o caso:</w:t>
      </w:r>
    </w:p>
    <w:p>
      <w:pPr>
        <w:pStyle w:val="normal1"/>
        <w:widowControl/>
        <w:numPr>
          <w:ilvl w:val="1"/>
          <w:numId w:val="29"/>
        </w:numPr>
        <w:spacing w:lineRule="auto" w:line="360"/>
        <w:ind w:firstLine="527" w:start="567"/>
        <w:jc w:val="both"/>
        <w:rPr>
          <w:rFonts w:ascii="Arial" w:hAnsi="Arial" w:eastAsia="Arial" w:cs="Arial"/>
          <w:b w:val="false"/>
          <w:bCs w:val="false"/>
          <w:i/>
          <w:iCs/>
        </w:rPr>
      </w:pPr>
      <w:r>
        <w:rPr>
          <w:rFonts w:eastAsia="Arial" w:cs="Arial" w:ascii="Arial" w:hAnsi="Arial"/>
          <w:i/>
          <w:iCs/>
        </w:rPr>
        <w:t>"as built", elaborado pelo responsável por sua execução;</w:t>
      </w:r>
    </w:p>
    <w:p>
      <w:pPr>
        <w:pStyle w:val="normal1"/>
        <w:widowControl/>
        <w:numPr>
          <w:ilvl w:val="1"/>
          <w:numId w:val="29"/>
        </w:numPr>
        <w:spacing w:lineRule="auto" w:line="360"/>
        <w:ind w:firstLine="527" w:start="567"/>
        <w:jc w:val="both"/>
        <w:rPr>
          <w:rFonts w:ascii="Arial" w:hAnsi="Arial" w:eastAsia="Arial" w:cs="Arial"/>
          <w:b w:val="false"/>
          <w:bCs w:val="false"/>
          <w:i/>
          <w:iCs/>
        </w:rPr>
      </w:pPr>
      <w:r>
        <w:rPr>
          <w:rFonts w:eastAsia="Arial" w:cs="Arial" w:ascii="Arial" w:hAnsi="Arial"/>
          <w:i/>
          <w:iCs/>
        </w:rPr>
        <w:t>comprovação das ligações definitivas de energia, água, telefone e gás;</w:t>
      </w:r>
    </w:p>
    <w:p>
      <w:pPr>
        <w:pStyle w:val="normal1"/>
        <w:widowControl/>
        <w:numPr>
          <w:ilvl w:val="1"/>
          <w:numId w:val="29"/>
        </w:numPr>
        <w:spacing w:lineRule="auto" w:line="360"/>
        <w:ind w:firstLine="527" w:start="567"/>
        <w:jc w:val="both"/>
        <w:rPr>
          <w:rFonts w:ascii="Arial" w:hAnsi="Arial" w:eastAsia="Arial" w:cs="Arial"/>
          <w:b w:val="false"/>
          <w:bCs w:val="false"/>
          <w:i/>
          <w:iCs/>
        </w:rPr>
      </w:pPr>
      <w:r>
        <w:rPr>
          <w:rFonts w:eastAsia="Arial" w:cs="Arial" w:ascii="Arial" w:hAnsi="Arial"/>
          <w:i/>
          <w:iCs/>
        </w:rPr>
        <w:t>laudo de vistoria do corpo de bombeiros aprovando o serviço;</w:t>
      </w:r>
    </w:p>
    <w:p>
      <w:pPr>
        <w:pStyle w:val="normal1"/>
        <w:widowControl/>
        <w:numPr>
          <w:ilvl w:val="1"/>
          <w:numId w:val="29"/>
        </w:numPr>
        <w:spacing w:lineRule="auto" w:line="360"/>
        <w:ind w:firstLine="527" w:start="567"/>
        <w:jc w:val="both"/>
        <w:rPr>
          <w:rFonts w:ascii="Arial" w:hAnsi="Arial" w:eastAsia="Arial" w:cs="Arial"/>
          <w:b w:val="false"/>
          <w:bCs w:val="false"/>
          <w:i/>
          <w:iCs/>
        </w:rPr>
      </w:pPr>
      <w:r>
        <w:rPr>
          <w:rFonts w:eastAsia="Arial" w:cs="Arial" w:ascii="Arial" w:hAnsi="Arial"/>
          <w:i/>
          <w:iCs/>
        </w:rPr>
        <w:t>carta "habite-se", emitida pela prefeitura; e</w:t>
      </w:r>
    </w:p>
    <w:p>
      <w:pPr>
        <w:pStyle w:val="normal1"/>
        <w:widowControl/>
        <w:numPr>
          <w:ilvl w:val="1"/>
          <w:numId w:val="29"/>
        </w:numPr>
        <w:spacing w:lineRule="auto" w:line="360"/>
        <w:ind w:firstLine="527" w:start="567"/>
        <w:jc w:val="both"/>
        <w:rPr>
          <w:rFonts w:ascii="Arial" w:hAnsi="Arial" w:eastAsia="Arial" w:cs="Arial"/>
          <w:b w:val="false"/>
          <w:bCs w:val="false"/>
          <w:i/>
          <w:iCs/>
        </w:rPr>
      </w:pPr>
      <w:r>
        <w:rPr>
          <w:rFonts w:eastAsia="Arial" w:cs="Arial" w:ascii="Arial" w:hAnsi="Arial"/>
          <w:i/>
          <w:iCs/>
        </w:rPr>
        <w:t>certidão negativa de débitos previdenciários específica para o registro da obra junto ao Cartório de Registro de Imóveis;</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Arquivar, entre outros documentos, projetos, "as built", especificações técnicas, orçamentos, termos de recebimento, contratos e aditamentos, relatórios de inspeções técnicas após o recebimento do serviço e notificações expedidas;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Assegurar que o ambiente de trabalho, inclusive seus equipamentos e instalações, apresentem condições adequadas ao cumprimento, pelo </w:t>
      </w:r>
      <w:r>
        <w:rPr>
          <w:rFonts w:eastAsia="Arial" w:cs="Arial" w:ascii="Arial" w:hAnsi="Arial"/>
          <w:b/>
          <w:bCs/>
        </w:rPr>
        <w:t>CONTRATADO</w:t>
      </w:r>
      <w:r>
        <w:rPr>
          <w:rFonts w:eastAsia="Arial" w:cs="Arial" w:ascii="Arial" w:hAnsi="Arial"/>
        </w:rPr>
        <w:t>, das normas de segurança e saúde no trabalho, quando o serviço for executado em suas dependências, ou em local por ela designado;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Não responder por quaisquer compromissos assumidos pelo </w:t>
      </w:r>
      <w:r>
        <w:rPr>
          <w:rFonts w:eastAsia="Arial" w:cs="Arial" w:ascii="Arial" w:hAnsi="Arial"/>
          <w:b/>
          <w:bCs/>
        </w:rPr>
        <w:t xml:space="preserve">CONTRATADO </w:t>
      </w:r>
      <w:r>
        <w:rPr>
          <w:rFonts w:eastAsia="Arial" w:cs="Arial" w:ascii="Arial" w:hAnsi="Arial"/>
        </w:rPr>
        <w:t xml:space="preserve">com terceiros, ainda que vinculados à execução do contrato, bem como por qualquer dano causado a terceiros em decorrência de ato do </w:t>
      </w:r>
      <w:r>
        <w:rPr>
          <w:rFonts w:eastAsia="Arial" w:cs="Arial" w:ascii="Arial" w:hAnsi="Arial"/>
          <w:b/>
          <w:bCs/>
        </w:rPr>
        <w:t>CONTRATADO</w:t>
      </w:r>
      <w:r>
        <w:rPr>
          <w:rFonts w:eastAsia="Arial" w:cs="Arial" w:ascii="Arial" w:hAnsi="Arial"/>
        </w:rPr>
        <w:t>, de seus empregados, prepostos ou subordinados;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Previamente à expedição da ordem de serviço, verificar pendências, liberar áreas e/ou adotar providências cabíveis para a regularidade do início da sua execução.</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SEGUNDA – RESPONSABILIDADES DA CONTRATADA (Art. 92, XIV, XVI e XVII,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CONTRATADO </w:t>
      </w:r>
      <w:r>
        <w:rPr>
          <w:rFonts w:eastAsia="Arial" w:cs="Arial" w:ascii="Arial" w:hAnsi="Arial"/>
        </w:rPr>
        <w:t>deve cumprir todas as obrigações constantes deste Contrato e de seus anexos, assumindo como exclusivamente seus os riscos e as despesas decorrentes da boa e perfeita execução do objeto, observando, ainda, as obrigações a seguir dispostas: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Manter preposto aceito pela Administração no local do serviço para representá-lo na execução do contrato;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A indicação ou a manutenção do preposto da empresa poderá ser recusada pelo órgão ou entidade, desde que devidamente justificada, devendo a empresa designar outro para o exercício da atividade.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Atender às determinações regulares emitidas pelo fiscal do contrato ou autoridade superior (Art. 137, II, da Lei n.º 14.133/2021) e prestar todo esclarecimento ou informação por eles solicitados;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Efetuar comunicação ao </w:t>
      </w:r>
      <w:r>
        <w:rPr>
          <w:rFonts w:eastAsia="Arial" w:cs="Arial" w:ascii="Arial" w:hAnsi="Arial"/>
          <w:b/>
          <w:bCs/>
        </w:rPr>
        <w:t>CONTRATANTE</w:t>
      </w:r>
      <w:r>
        <w:rPr>
          <w:rFonts w:eastAsia="Arial" w:cs="Arial" w:ascii="Arial" w:hAnsi="Arial"/>
        </w:rPr>
        <w:t xml:space="preserve">, assim que tiver ciência da impossibilidade de realização ou finalização do serviço no prazo estabelecido, para adoção de ações de contingência cabíveis;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Não contratar, durante a vigência do contrato, cônjuge, companheiro ou parente em linha reta, colateral ou por afinidade, até o terceiro grau, de dirigente do </w:t>
      </w:r>
      <w:r>
        <w:rPr>
          <w:rFonts w:eastAsia="Arial" w:cs="Arial" w:ascii="Arial" w:hAnsi="Arial"/>
          <w:b/>
          <w:bCs/>
        </w:rPr>
        <w:t xml:space="preserve">CONTRATANTE </w:t>
      </w:r>
      <w:r>
        <w:rPr>
          <w:rFonts w:eastAsia="Arial" w:cs="Arial" w:ascii="Arial" w:hAnsi="Arial"/>
        </w:rPr>
        <w:t>ou do fiscal ou gestor do contrato, nos termos do artigo 48, parágrafo único,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Quando não for possível a verificação da regularidade no Sistema de Cadastro de Fornecedores – SICAF, o </w:t>
      </w:r>
      <w:r>
        <w:rPr>
          <w:rFonts w:eastAsia="Arial" w:cs="Arial" w:ascii="Arial" w:hAnsi="Arial"/>
          <w:b/>
          <w:bCs/>
        </w:rPr>
        <w:t xml:space="preserve">CONTRATADO </w:t>
      </w:r>
      <w:r>
        <w:rPr>
          <w:rFonts w:eastAsia="Arial" w:cs="Arial" w:ascii="Arial" w:hAnsi="Arial"/>
        </w:rPr>
        <w:t xml:space="preserve">deverá entregar ao setor responsável pela fiscalização do contrato, até o dia 30 (trinta) do mês seguinte ao da prestação dos serviços, os seguintes documentos: </w:t>
      </w:r>
    </w:p>
    <w:p>
      <w:pPr>
        <w:pStyle w:val="normal1"/>
        <w:widowControl/>
        <w:numPr>
          <w:ilvl w:val="1"/>
          <w:numId w:val="25"/>
        </w:numPr>
        <w:spacing w:lineRule="auto" w:line="360"/>
        <w:ind w:firstLine="527" w:start="567"/>
        <w:jc w:val="both"/>
        <w:rPr>
          <w:rFonts w:ascii="Arial" w:hAnsi="Arial" w:eastAsia="Arial" w:cs="Arial"/>
        </w:rPr>
      </w:pPr>
      <w:r>
        <w:rPr>
          <w:rFonts w:eastAsia="Arial" w:cs="Arial" w:ascii="Arial" w:hAnsi="Arial"/>
        </w:rPr>
        <w:t xml:space="preserve">prova de regularidade relativa à Seguridade Social; </w:t>
      </w:r>
    </w:p>
    <w:p>
      <w:pPr>
        <w:pStyle w:val="normal1"/>
        <w:widowControl/>
        <w:numPr>
          <w:ilvl w:val="1"/>
          <w:numId w:val="25"/>
        </w:numPr>
        <w:spacing w:lineRule="auto" w:line="360"/>
        <w:ind w:firstLine="527" w:start="567"/>
        <w:jc w:val="both"/>
        <w:rPr>
          <w:rFonts w:ascii="Arial" w:hAnsi="Arial" w:eastAsia="Arial" w:cs="Arial"/>
        </w:rPr>
      </w:pPr>
      <w:r>
        <w:rPr>
          <w:rFonts w:eastAsia="Arial" w:cs="Arial" w:ascii="Arial" w:hAnsi="Arial"/>
        </w:rPr>
        <w:t>certidão conjunta relativa aos tributos federais e à Dívida Ativa da União;</w:t>
      </w:r>
    </w:p>
    <w:p>
      <w:pPr>
        <w:pStyle w:val="normal1"/>
        <w:widowControl/>
        <w:numPr>
          <w:ilvl w:val="1"/>
          <w:numId w:val="25"/>
        </w:numPr>
        <w:spacing w:lineRule="auto" w:line="360"/>
        <w:ind w:firstLine="527" w:start="567"/>
        <w:jc w:val="both"/>
        <w:rPr>
          <w:rFonts w:ascii="Arial" w:hAnsi="Arial" w:eastAsia="Arial" w:cs="Arial"/>
        </w:rPr>
      </w:pPr>
      <w:r>
        <w:rPr>
          <w:rFonts w:eastAsia="Arial" w:cs="Arial" w:ascii="Arial" w:hAnsi="Arial"/>
        </w:rPr>
        <w:t xml:space="preserve">certidões que comprovem a regularidade perante a Fazenda Municipal ou Distrital do domicílio ou sede do </w:t>
      </w:r>
      <w:r>
        <w:rPr>
          <w:rFonts w:eastAsia="Arial" w:cs="Arial" w:ascii="Arial" w:hAnsi="Arial"/>
          <w:b/>
          <w:bCs/>
        </w:rPr>
        <w:t>CONTRATADO</w:t>
      </w:r>
      <w:r>
        <w:rPr>
          <w:rFonts w:eastAsia="Arial" w:cs="Arial" w:ascii="Arial" w:hAnsi="Arial"/>
        </w:rPr>
        <w:t xml:space="preserve">; </w:t>
      </w:r>
    </w:p>
    <w:p>
      <w:pPr>
        <w:pStyle w:val="normal1"/>
        <w:widowControl/>
        <w:numPr>
          <w:ilvl w:val="1"/>
          <w:numId w:val="25"/>
        </w:numPr>
        <w:spacing w:lineRule="auto" w:line="360"/>
        <w:ind w:firstLine="527" w:start="567"/>
        <w:jc w:val="both"/>
        <w:rPr>
          <w:rFonts w:ascii="Arial" w:hAnsi="Arial" w:eastAsia="Arial" w:cs="Arial"/>
        </w:rPr>
      </w:pPr>
      <w:r>
        <w:rPr>
          <w:rFonts w:eastAsia="Arial" w:cs="Arial" w:ascii="Arial" w:hAnsi="Arial"/>
        </w:rPr>
        <w:t>Certidão de Regularidade do FGTS – CRF; e</w:t>
      </w:r>
    </w:p>
    <w:p>
      <w:pPr>
        <w:pStyle w:val="normal1"/>
        <w:widowControl/>
        <w:numPr>
          <w:ilvl w:val="1"/>
          <w:numId w:val="25"/>
        </w:numPr>
        <w:spacing w:lineRule="auto" w:line="360"/>
        <w:ind w:firstLine="527" w:start="567"/>
        <w:jc w:val="both"/>
        <w:rPr>
          <w:rFonts w:ascii="Arial" w:hAnsi="Arial" w:eastAsia="Arial" w:cs="Arial"/>
        </w:rPr>
      </w:pPr>
      <w:r>
        <w:rPr>
          <w:rFonts w:eastAsia="Arial" w:cs="Arial" w:ascii="Arial" w:hAnsi="Arial"/>
        </w:rPr>
        <w:t xml:space="preserve">Certidão Negativa de Débitos Trabalhistas – CNDT.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rFonts w:eastAsia="Arial" w:cs="Arial" w:ascii="Arial" w:hAnsi="Arial"/>
          <w:b/>
          <w:bCs/>
        </w:rPr>
        <w:t>CONTRATANTE</w:t>
      </w:r>
      <w:r>
        <w:rPr>
          <w:rFonts w:eastAsia="Arial" w:cs="Arial" w:ascii="Arial" w:hAnsi="Arial"/>
        </w:rPr>
        <w:t xml:space="preserve">;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Comunicar ao Fiscal do contrato, no prazo de 24 (vinte e quatro) horas, qualquer ocorrência anormal ou acidente que se verifique no local dos serviços;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Prestar todo esclarecimento ou informação solicitada pelo </w:t>
      </w:r>
      <w:r>
        <w:rPr>
          <w:rFonts w:eastAsia="Arial" w:cs="Arial" w:ascii="Arial" w:hAnsi="Arial"/>
          <w:b/>
          <w:bCs/>
        </w:rPr>
        <w:t xml:space="preserve">CONTRATANTE </w:t>
      </w:r>
      <w:r>
        <w:rPr>
          <w:rFonts w:eastAsia="Arial" w:cs="Arial" w:ascii="Arial" w:hAnsi="Arial"/>
        </w:rPr>
        <w:t>ou por seus prepostos, garantindo-lhes o acesso, a qualquer tempo, ao local dos trabalhos, bem como aos documentos relativos à execução do empreendimento;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Paralisar, por determinação do </w:t>
      </w:r>
      <w:r>
        <w:rPr>
          <w:rFonts w:eastAsia="Arial" w:cs="Arial" w:ascii="Arial" w:hAnsi="Arial"/>
          <w:b/>
          <w:bCs/>
        </w:rPr>
        <w:t>CONTRATANTE</w:t>
      </w:r>
      <w:r>
        <w:rPr>
          <w:rFonts w:eastAsia="Arial" w:cs="Arial" w:ascii="Arial" w:hAnsi="Arial"/>
        </w:rPr>
        <w:t>, qualquer atividade que não esteja sendo executada de acordo com a boa técnica ou que ponha em risco a segurança de pessoas ou bens de terceiros;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Promover a guarda, manutenção e vigilância de materiais, ferramentas, e tudo o que for necessário à execução do objeto, durante a vigência do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Submeter previamente, por escrito, ao </w:t>
      </w:r>
      <w:r>
        <w:rPr>
          <w:rFonts w:eastAsia="Arial" w:cs="Arial" w:ascii="Arial" w:hAnsi="Arial"/>
          <w:b/>
          <w:bCs/>
        </w:rPr>
        <w:t>CONTRATANTE</w:t>
      </w:r>
      <w:r>
        <w:rPr>
          <w:rFonts w:eastAsia="Arial" w:cs="Arial" w:ascii="Arial" w:hAnsi="Arial"/>
        </w:rPr>
        <w:t>, para análise e aprovação, quaisquer mudanças nos métodos executivos que fujam às especificações do memorial descritivo ou instrumento congênere;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Manter durante toda a vigência do contrato, em compatibilidade com as obrigações assumidas, todas as condições exigidas para habilitação na licitação;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Cumprir, durante todo o período de execução do contrato, a reserva de cargos prevista em lei para pessoa com deficiência, para reabilitado da Previdência Social ou para aprendiz, bem como as reservas de cargos previstas na legislação (Art. 116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Comprovar a reserva de cargos a que se refere a cláusula acima, no prazo fixado pelo fiscal do contrato, com a indicação dos empregados que preencheram as referidas vagas (Art. 116, parágrafo único,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Guardar sigilo sobre todas as informações obtidas em decorrência do cumprimento do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Cumprir, além dos postulados legais vigentes de âmbito federal, estadual ou municipal, as normas de segurança do </w:t>
      </w:r>
      <w:r>
        <w:rPr>
          <w:rFonts w:eastAsia="Arial" w:cs="Arial" w:ascii="Arial" w:hAnsi="Arial"/>
          <w:b/>
          <w:bCs/>
        </w:rPr>
        <w:t>CONTRATANTE</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Realizar os serviços de manutenção e assistência técnica no(s) seguinte(s) local(is) ... (inserir endereço(s));</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O técnico deverá se deslocar ao local da repartição, salvo se o </w:t>
      </w:r>
      <w:r>
        <w:rPr>
          <w:rFonts w:eastAsia="Arial" w:cs="Arial" w:ascii="Arial" w:hAnsi="Arial"/>
          <w:b/>
          <w:bCs/>
          <w:i/>
          <w:iCs/>
        </w:rPr>
        <w:t xml:space="preserve">CONTRATADO </w:t>
      </w:r>
      <w:r>
        <w:rPr>
          <w:rFonts w:eastAsia="Arial" w:cs="Arial" w:ascii="Arial" w:hAnsi="Arial"/>
          <w:i/>
          <w:iCs/>
        </w:rPr>
        <w:t xml:space="preserve">tiver unidade de prestação de serviços em distância de [....] (inserir distância conforme avaliação técnica) do local demandado. </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Realizar a transição contratual com transferência de conhecimento, tecnologia e técnicas empregadas, sem perda de informações, podendo exigir, inclusive, a capacitação dos técnicos do </w:t>
      </w:r>
      <w:r>
        <w:rPr>
          <w:rFonts w:eastAsia="Arial" w:cs="Arial" w:ascii="Arial" w:hAnsi="Arial"/>
          <w:b/>
          <w:bCs/>
          <w:i/>
          <w:iCs/>
        </w:rPr>
        <w:t xml:space="preserve">CONTRATANTE </w:t>
      </w:r>
      <w:r>
        <w:rPr>
          <w:rFonts w:eastAsia="Arial" w:cs="Arial" w:ascii="Arial" w:hAnsi="Arial"/>
          <w:i/>
          <w:iCs/>
        </w:rPr>
        <w:t>ou da nova empresa que continuará a execução dos serviços;</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Ceder ao </w:t>
      </w:r>
      <w:r>
        <w:rPr>
          <w:rFonts w:eastAsia="Arial" w:cs="Arial" w:ascii="Arial" w:hAnsi="Arial"/>
          <w:b/>
          <w:bCs/>
          <w:i/>
          <w:iCs/>
        </w:rPr>
        <w:t xml:space="preserve">CONTRATANTE </w:t>
      </w:r>
      <w:r>
        <w:rPr>
          <w:rFonts w:eastAsia="Arial" w:cs="Arial" w:ascii="Arial" w:hAnsi="Arial"/>
          <w:i/>
          <w:iCs/>
        </w:rPr>
        <w:t xml:space="preserve">todos os direitos patrimoniais relativos ao objeto </w:t>
      </w:r>
      <w:r>
        <w:rPr>
          <w:rFonts w:eastAsia="Arial" w:cs="Arial" w:ascii="Arial" w:hAnsi="Arial"/>
          <w:b/>
          <w:bCs/>
          <w:i/>
          <w:iCs/>
        </w:rPr>
        <w:t>CONTRATADO</w:t>
      </w:r>
      <w:r>
        <w:rPr>
          <w:rFonts w:eastAsia="Arial" w:cs="Arial" w:ascii="Arial" w:hAnsi="Arial"/>
          <w:i/>
          <w:iCs/>
        </w:rPr>
        <w:t xml:space="preserve">, o qual poderá ser livremente utilizado e/ou alterado em outras ocasiões, sem necessidade de nova autorização do </w:t>
      </w:r>
      <w:r>
        <w:rPr>
          <w:rFonts w:eastAsia="Arial" w:cs="Arial" w:ascii="Arial" w:hAnsi="Arial"/>
          <w:b/>
          <w:bCs/>
          <w:i/>
          <w:iCs/>
        </w:rPr>
        <w:t>CONTRATADO</w:t>
      </w:r>
      <w:r>
        <w:rPr>
          <w:rFonts w:eastAsia="Arial" w:cs="Arial" w:ascii="Arial" w:hAnsi="Arial"/>
          <w:i/>
          <w:iCs/>
        </w:rPr>
        <w:t>.</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 xml:space="preserve">Considerando que o projeto </w:t>
      </w:r>
      <w:r>
        <w:rPr>
          <w:rFonts w:eastAsia="Arial" w:cs="Arial" w:ascii="Arial" w:hAnsi="Arial"/>
          <w:b/>
          <w:bCs/>
          <w:i/>
          <w:iCs/>
        </w:rPr>
        <w:t xml:space="preserve">CONTRATADO </w:t>
      </w:r>
      <w:r>
        <w:rPr>
          <w:rFonts w:eastAsia="Arial" w:cs="Arial" w:ascii="Arial" w:hAnsi="Arial"/>
          <w:i/>
          <w:iCs/>
        </w:rPr>
        <w:t>se refere à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Manter os empregados nos horários predeterminados pelo </w:t>
      </w:r>
      <w:r>
        <w:rPr>
          <w:rFonts w:eastAsia="Arial" w:cs="Arial" w:ascii="Arial" w:hAnsi="Arial"/>
          <w:b/>
          <w:bCs/>
        </w:rPr>
        <w:t>CONTRATANTE</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Apresentar os empregados devidamente uniformizados e identificados por meio de crachá.</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Apresentar ao </w:t>
      </w:r>
      <w:r>
        <w:rPr>
          <w:rFonts w:eastAsia="Arial" w:cs="Arial" w:ascii="Arial" w:hAnsi="Arial"/>
          <w:b/>
          <w:bCs/>
        </w:rPr>
        <w:t>CONTRATANTE</w:t>
      </w:r>
      <w:r>
        <w:rPr>
          <w:rFonts w:eastAsia="Arial" w:cs="Arial" w:ascii="Arial" w:hAnsi="Arial"/>
        </w:rPr>
        <w:t>, quando for o caso, a relação nominal dos empregados que adentrarão no órgão para a execução do serviço.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Observar os preceitos da legislação sobre a jornada de trabalho, conforme a categoria profissional.</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Atender às solicitações do </w:t>
      </w:r>
      <w:r>
        <w:rPr>
          <w:rFonts w:eastAsia="Arial" w:cs="Arial" w:ascii="Arial" w:hAnsi="Arial"/>
          <w:b/>
          <w:bCs/>
        </w:rPr>
        <w:t xml:space="preserve">CONTRATANTE </w:t>
      </w:r>
      <w:r>
        <w:rPr>
          <w:rFonts w:eastAsia="Arial" w:cs="Arial" w:ascii="Arial" w:hAnsi="Arial"/>
        </w:rPr>
        <w:t>quanto à substituição dos empregados alocados, no prazo fixado pela fiscalização do contrato, nos casos em que ficar constatado descumprimento das obrigações relativas à execução do serviço, conforme descrito nas especificações do objeto.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Instruir seus empregados quanto à necessidade de acatar as Normas Internas do </w:t>
      </w:r>
      <w:r>
        <w:rPr>
          <w:rFonts w:eastAsia="Arial" w:cs="Arial" w:ascii="Arial" w:hAnsi="Arial"/>
          <w:b/>
          <w:bCs/>
        </w:rPr>
        <w:t>CONTRATANTE</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Instruir seus empregados a respeito das atividades a serem desempenhadas, alertando-os a não executarem atividades não abrangidas pelo contrato, devendo o </w:t>
      </w:r>
      <w:r>
        <w:rPr>
          <w:rFonts w:eastAsia="Arial" w:cs="Arial" w:ascii="Arial" w:hAnsi="Arial"/>
          <w:b/>
          <w:bCs/>
        </w:rPr>
        <w:t xml:space="preserve">CONTRATADO </w:t>
      </w:r>
      <w:r>
        <w:rPr>
          <w:rFonts w:eastAsia="Arial" w:cs="Arial" w:ascii="Arial" w:hAnsi="Arial"/>
        </w:rPr>
        <w:t xml:space="preserve">relatar ao </w:t>
      </w:r>
      <w:r>
        <w:rPr>
          <w:rFonts w:eastAsia="Arial" w:cs="Arial" w:ascii="Arial" w:hAnsi="Arial"/>
          <w:b/>
          <w:bCs/>
        </w:rPr>
        <w:t xml:space="preserve">CONTRATANTE </w:t>
      </w:r>
      <w:r>
        <w:rPr>
          <w:rFonts w:eastAsia="Arial" w:cs="Arial" w:ascii="Arial" w:hAnsi="Arial"/>
        </w:rPr>
        <w:t>toda e qualquer ocorrência neste sentido, a fim de evitar desvio de função.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Instruir os seus empregados, quanto à prevenção de incêndios nas áreas do </w:t>
      </w:r>
      <w:r>
        <w:rPr>
          <w:rFonts w:eastAsia="Arial" w:cs="Arial" w:ascii="Arial" w:hAnsi="Arial"/>
          <w:b/>
          <w:bCs/>
        </w:rPr>
        <w:t>CONTRATANTE</w:t>
      </w:r>
      <w:r>
        <w:rPr>
          <w:rFonts w:eastAsia="Arial" w:cs="Arial" w:ascii="Arial" w:hAnsi="Arial"/>
        </w:rPr>
        <w:t>.</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Adotar as providências e precauções necessárias, inclusive consulta nos respectivos órgãos, se necessário for, a fim de que não venham a ser danificadas as redes hidrossanitárias, elétricas e de comunicação.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Estar registrada ou inscrita no Conselho Profissional competente, conforme as áreas de atuação previstas no Termo de Referência, em plena validade.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Obter junto aos órgãos competentes, conforme o caso, as licenças necessárias e demais documentos e autorizações exigíveis, na forma da legislação aplicável.</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Utilizar somente matéria-prima florestal procedente, nos termos do art. 11 do Decreto n° 5.975, de 2006 e da Resolução do CONAMA nº 310, de 05/07/2002, de: </w:t>
      </w:r>
    </w:p>
    <w:p>
      <w:pPr>
        <w:pStyle w:val="normal1"/>
        <w:widowControl/>
        <w:numPr>
          <w:ilvl w:val="1"/>
          <w:numId w:val="24"/>
        </w:numPr>
        <w:spacing w:lineRule="auto" w:line="360"/>
        <w:ind w:firstLine="527" w:start="567"/>
        <w:jc w:val="both"/>
        <w:rPr>
          <w:rFonts w:ascii="Arial" w:hAnsi="Arial" w:eastAsia="Arial" w:cs="Arial"/>
          <w:i/>
          <w:iCs/>
        </w:rPr>
      </w:pPr>
      <w:r>
        <w:rPr>
          <w:rFonts w:eastAsia="Arial" w:cs="Arial" w:ascii="Arial" w:hAnsi="Arial"/>
          <w:i/>
          <w:iCs/>
        </w:rPr>
        <w:t>manejo florestal, realizado por meio de Plano de Manejo Florestal Sustentável - PMFS devidamente aprovado pelo órgão competente do Sistema Nacional do Meio Ambiente - SISNAMA;</w:t>
      </w:r>
    </w:p>
    <w:p>
      <w:pPr>
        <w:pStyle w:val="normal1"/>
        <w:widowControl/>
        <w:numPr>
          <w:ilvl w:val="1"/>
          <w:numId w:val="24"/>
        </w:numPr>
        <w:spacing w:lineRule="auto" w:line="360"/>
        <w:ind w:firstLine="527" w:start="567"/>
        <w:jc w:val="both"/>
        <w:rPr>
          <w:rFonts w:ascii="Arial" w:hAnsi="Arial" w:eastAsia="Arial" w:cs="Arial"/>
          <w:i/>
          <w:iCs/>
        </w:rPr>
      </w:pPr>
      <w:r>
        <w:rPr>
          <w:rFonts w:eastAsia="Arial" w:cs="Arial" w:ascii="Arial" w:hAnsi="Arial"/>
          <w:i/>
          <w:iCs/>
        </w:rPr>
        <w:t xml:space="preserve">supressão da vegetação natural, devidamente autorizada pelo órgão competente do Sistema Nacional do Meio Ambiente - SISNAMA; </w:t>
      </w:r>
    </w:p>
    <w:p>
      <w:pPr>
        <w:pStyle w:val="normal1"/>
        <w:widowControl/>
        <w:numPr>
          <w:ilvl w:val="1"/>
          <w:numId w:val="24"/>
        </w:numPr>
        <w:spacing w:lineRule="auto" w:line="360"/>
        <w:ind w:firstLine="527" w:start="567"/>
        <w:jc w:val="both"/>
        <w:rPr>
          <w:rFonts w:ascii="Arial" w:hAnsi="Arial" w:eastAsia="Arial" w:cs="Arial"/>
          <w:i/>
          <w:iCs/>
        </w:rPr>
      </w:pPr>
      <w:r>
        <w:rPr>
          <w:rFonts w:eastAsia="Arial" w:cs="Arial" w:ascii="Arial" w:hAnsi="Arial"/>
          <w:i/>
          <w:iCs/>
        </w:rPr>
        <w:t xml:space="preserve">florestas plantadas; e </w:t>
      </w:r>
    </w:p>
    <w:p>
      <w:pPr>
        <w:pStyle w:val="normal1"/>
        <w:widowControl/>
        <w:numPr>
          <w:ilvl w:val="1"/>
          <w:numId w:val="24"/>
        </w:numPr>
        <w:spacing w:lineRule="auto" w:line="360"/>
        <w:ind w:firstLine="527" w:start="567"/>
        <w:jc w:val="both"/>
        <w:rPr>
          <w:rFonts w:ascii="Arial" w:hAnsi="Arial" w:eastAsia="Arial" w:cs="Arial"/>
          <w:i/>
          <w:iCs/>
        </w:rPr>
      </w:pPr>
      <w:r>
        <w:rPr>
          <w:rFonts w:eastAsia="Arial" w:cs="Arial" w:ascii="Arial" w:hAnsi="Arial"/>
          <w:i/>
          <w:iCs/>
        </w:rPr>
        <w:t>outras fontes de biomassa florestal, definidas em normas específicas do órgão ambiental competente.</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Comprovar a procedência legal dos produtos ou subprodutos florestais utilizados em cada etapa da execução contratual, por ocasião da respectiva medição, mediante a apresentação dos seguintes documentos, conforme o caso: </w:t>
      </w:r>
    </w:p>
    <w:p>
      <w:pPr>
        <w:pStyle w:val="normal1"/>
        <w:widowControl/>
        <w:numPr>
          <w:ilvl w:val="1"/>
          <w:numId w:val="16"/>
        </w:numPr>
        <w:spacing w:lineRule="auto" w:line="360"/>
        <w:ind w:firstLine="527" w:start="567"/>
        <w:jc w:val="both"/>
        <w:rPr>
          <w:rFonts w:ascii="Arial" w:hAnsi="Arial" w:eastAsia="Arial" w:cs="Arial"/>
          <w:i/>
          <w:iCs/>
          <w:sz w:val="22"/>
          <w:szCs w:val="22"/>
        </w:rPr>
      </w:pPr>
      <w:r>
        <w:rPr>
          <w:rFonts w:eastAsia="Arial" w:cs="Arial" w:ascii="Arial" w:hAnsi="Arial"/>
          <w:i/>
          <w:iCs/>
        </w:rPr>
        <w:t xml:space="preserve">Cópias autenticadas das notas fiscais de aquisição dos produtos ou subprodutos florestais; </w:t>
      </w:r>
    </w:p>
    <w:p>
      <w:pPr>
        <w:pStyle w:val="normal1"/>
        <w:widowControl/>
        <w:numPr>
          <w:ilvl w:val="1"/>
          <w:numId w:val="16"/>
        </w:numPr>
        <w:spacing w:lineRule="auto" w:line="360"/>
        <w:ind w:firstLine="527" w:start="567"/>
        <w:jc w:val="both"/>
        <w:rPr>
          <w:rFonts w:ascii="Arial" w:hAnsi="Arial" w:eastAsia="Arial" w:cs="Arial"/>
          <w:i/>
          <w:iCs/>
          <w:sz w:val="22"/>
          <w:szCs w:val="22"/>
        </w:rPr>
      </w:pPr>
      <w:r>
        <w:rPr>
          <w:rFonts w:eastAsia="Arial" w:cs="Arial" w:ascii="Arial" w:hAnsi="Arial"/>
          <w:i/>
          <w:iCs/>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 17, inciso II, da Lei n.° 6.938, de 1981, e legislação correlata;</w:t>
      </w:r>
    </w:p>
    <w:p>
      <w:pPr>
        <w:pStyle w:val="normal1"/>
        <w:widowControl/>
        <w:numPr>
          <w:ilvl w:val="1"/>
          <w:numId w:val="16"/>
        </w:numPr>
        <w:spacing w:lineRule="auto" w:line="360"/>
        <w:ind w:firstLine="527" w:start="567"/>
        <w:jc w:val="both"/>
        <w:rPr>
          <w:rFonts w:ascii="Arial" w:hAnsi="Arial" w:eastAsia="Arial" w:cs="Arial"/>
          <w:i/>
          <w:iCs/>
          <w:sz w:val="22"/>
          <w:szCs w:val="22"/>
        </w:rPr>
      </w:pPr>
      <w:r>
        <w:rPr>
          <w:rFonts w:eastAsia="Arial" w:cs="Arial" w:ascii="Arial" w:hAnsi="Arial"/>
          <w:i/>
          <w:iCs/>
        </w:rPr>
        <w:t>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pPr>
        <w:pStyle w:val="normal1"/>
        <w:widowControl/>
        <w:numPr>
          <w:ilvl w:val="1"/>
          <w:numId w:val="16"/>
        </w:numPr>
        <w:spacing w:lineRule="auto" w:line="360"/>
        <w:ind w:firstLine="527" w:start="567"/>
        <w:jc w:val="both"/>
        <w:rPr>
          <w:rFonts w:ascii="Arial" w:hAnsi="Arial" w:eastAsia="Arial" w:cs="Arial"/>
          <w:i/>
          <w:iCs/>
          <w:sz w:val="22"/>
          <w:szCs w:val="22"/>
        </w:rPr>
      </w:pPr>
      <w:r>
        <w:rPr>
          <w:rFonts w:eastAsia="Arial" w:cs="Arial" w:ascii="Arial" w:hAnsi="Arial"/>
          <w:i/>
          <w:iCs/>
        </w:rPr>
        <w:t xml:space="preserve">Caso os produtos ou subprodutos florestais utilizados na execução contratual tenham origem em Estado que possua documento de controle próprio, o </w:t>
      </w:r>
      <w:r>
        <w:rPr>
          <w:rFonts w:eastAsia="Arial" w:cs="Arial" w:ascii="Arial" w:hAnsi="Arial"/>
          <w:b/>
          <w:bCs/>
          <w:i/>
          <w:iCs/>
        </w:rPr>
        <w:t xml:space="preserve">CONTRATADO </w:t>
      </w:r>
      <w:r>
        <w:rPr>
          <w:rFonts w:eastAsia="Arial" w:cs="Arial" w:ascii="Arial" w:hAnsi="Arial"/>
          <w:i/>
          <w:iCs/>
        </w:rPr>
        <w:t>deverá apresentá-lo, em complementação ao DOF, a fim de demonstrar a regularidade do transporte e armazenamento nos limites do território estadual.</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Observar as diretrizes, critérios e procedimentos para a gestão dos resíduos da construção civil estabelecidos na Resolução nº 307, de 05/07/2002, com as alterações posteriores, do Conselho Nacional de Meio Ambiente – CONAMA e no Decreto Municipal de Florianópolis nº 17.910, de 22/08/2017, nos seguintes termos: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Nos termos dos artigos 3° e 10° da Resolução CONAMA n° 307, de 05/07/2002, o </w:t>
      </w:r>
      <w:r>
        <w:rPr>
          <w:rFonts w:eastAsia="Arial" w:cs="Arial" w:ascii="Arial" w:hAnsi="Arial"/>
          <w:b/>
          <w:bCs/>
        </w:rPr>
        <w:t xml:space="preserve">CONTRATADO </w:t>
      </w:r>
      <w:r>
        <w:rPr>
          <w:rFonts w:eastAsia="Arial" w:cs="Arial" w:ascii="Arial" w:hAnsi="Arial"/>
        </w:rPr>
        <w:t>deverá providenciar a destinação ambientalmente adequada dos resíduos da construção civil originários da contratação, obedecendo, no que couber, aos seguintes procedimentos:</w:t>
      </w:r>
    </w:p>
    <w:p>
      <w:pPr>
        <w:pStyle w:val="normal1"/>
        <w:widowControl/>
        <w:numPr>
          <w:ilvl w:val="3"/>
          <w:numId w:val="1"/>
        </w:numPr>
        <w:spacing w:lineRule="auto" w:line="360"/>
        <w:ind w:firstLine="697" w:start="850"/>
        <w:jc w:val="both"/>
        <w:rPr>
          <w:rFonts w:ascii="Arial" w:hAnsi="Arial" w:eastAsia="Arial" w:cs="Arial"/>
        </w:rPr>
      </w:pPr>
      <w:r>
        <w:rPr>
          <w:rFonts w:eastAsia="Arial" w:cs="Arial" w:ascii="Arial" w:hAnsi="Arial"/>
        </w:rPr>
        <w:t xml:space="preserve">Resíduos Classe A (reutilizáveis ou recicláveis como agregados): deverão ser reutilizados ou reciclados na forma de agregados, ou encaminhados a aterros de resíduos classe A de preservação de material para usos futuros. </w:t>
      </w:r>
    </w:p>
    <w:p>
      <w:pPr>
        <w:pStyle w:val="normal1"/>
        <w:widowControl/>
        <w:numPr>
          <w:ilvl w:val="3"/>
          <w:numId w:val="1"/>
        </w:numPr>
        <w:spacing w:lineRule="auto" w:line="360"/>
        <w:ind w:firstLine="697" w:start="850"/>
        <w:jc w:val="both"/>
        <w:rPr>
          <w:rFonts w:ascii="Arial" w:hAnsi="Arial" w:eastAsia="Arial" w:cs="Arial"/>
        </w:rPr>
      </w:pPr>
      <w:r>
        <w:rPr>
          <w:rFonts w:eastAsia="Arial" w:cs="Arial" w:ascii="Arial" w:hAnsi="Arial"/>
        </w:rPr>
        <w:t>Resíduos Classe B (recicláveis para outras destinações): deverão ser reutilizados, reciclados ou encaminhados a áreas de armazenamento temporário, sendo dispostos de modo a permitir a sua utilização ou reciclagem futura.</w:t>
      </w:r>
    </w:p>
    <w:p>
      <w:pPr>
        <w:pStyle w:val="normal1"/>
        <w:widowControl/>
        <w:numPr>
          <w:ilvl w:val="3"/>
          <w:numId w:val="1"/>
        </w:numPr>
        <w:spacing w:lineRule="auto" w:line="360"/>
        <w:ind w:firstLine="697" w:start="850"/>
        <w:jc w:val="both"/>
        <w:rPr>
          <w:rFonts w:ascii="Arial" w:hAnsi="Arial" w:eastAsia="Arial" w:cs="Arial"/>
        </w:rPr>
      </w:pPr>
      <w:r>
        <w:rPr>
          <w:rFonts w:eastAsia="Arial" w:cs="Arial" w:ascii="Arial" w:hAnsi="Arial"/>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1"/>
        <w:widowControl/>
        <w:numPr>
          <w:ilvl w:val="3"/>
          <w:numId w:val="1"/>
        </w:numPr>
        <w:spacing w:lineRule="auto" w:line="360"/>
        <w:ind w:firstLine="697" w:start="850"/>
        <w:jc w:val="both"/>
        <w:rPr>
          <w:rFonts w:ascii="Arial" w:hAnsi="Arial" w:eastAsia="Arial" w:cs="Arial"/>
        </w:rPr>
      </w:pPr>
      <w:r>
        <w:rPr>
          <w:rFonts w:eastAsia="Arial" w:cs="Arial" w:ascii="Arial" w:hAnsi="Arial"/>
        </w:rPr>
        <w:t>Resíduos Classe D (perigosos, contaminados ou prejudiciais à saúde): deverão ser armazenados, transportados, reutilizados e destinados em conformidade com as normas técnicas específicas.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Em nenhuma hipótese o </w:t>
      </w:r>
      <w:r>
        <w:rPr>
          <w:rFonts w:eastAsia="Arial" w:cs="Arial" w:ascii="Arial" w:hAnsi="Arial"/>
          <w:b/>
          <w:bCs/>
        </w:rPr>
        <w:t xml:space="preserve">CONTRATADO </w:t>
      </w:r>
      <w:r>
        <w:rPr>
          <w:rFonts w:eastAsia="Arial" w:cs="Arial" w:ascii="Arial" w:hAnsi="Arial"/>
        </w:rPr>
        <w:t>poderá dispor os resíduos originários da contratação em aterros de resíduos sólidos urbanos, áreas de “bota fora”, encostas, corpos d'água, lotes vagos e áreas protegidas por Lei, bem como em áreas não licenciadas.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Para fins de fiscalização do fiel cumprimento do Programa Municipal de Gerenciamento de Resíduos da Construção Civil, ou do Projeto de Gerenciamento de Resíduos da Construção Civil, conforme o caso, o </w:t>
      </w:r>
      <w:r>
        <w:rPr>
          <w:rFonts w:eastAsia="Arial" w:cs="Arial" w:ascii="Arial" w:hAnsi="Arial"/>
          <w:b/>
          <w:bCs/>
        </w:rPr>
        <w:t xml:space="preserve">CONTRATADO </w:t>
      </w:r>
      <w:r>
        <w:rPr>
          <w:rFonts w:eastAsia="Arial" w:cs="Arial" w:ascii="Arial" w:hAnsi="Arial"/>
        </w:rPr>
        <w:t>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Observar as seguintes diretrizes de caráter ambiental:</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Na execução contratual, conforme o caso, a emissão de ruídos não poderá ultrapassar os níveis considerados aceitáveis pela Norma NBR-10.151-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Responder por qualquer acidente de trabalho na execução dos serviços, por uso indevido de patentes registradas em nome de terceiros, por danos resultantes de defeitos ou incorreções dos serviços ou dos bens do </w:t>
      </w:r>
      <w:r>
        <w:rPr>
          <w:rFonts w:eastAsia="Arial" w:cs="Arial" w:ascii="Arial" w:hAnsi="Arial"/>
          <w:b/>
          <w:bCs/>
        </w:rPr>
        <w:t>CONTRATANTE</w:t>
      </w:r>
      <w:r>
        <w:rPr>
          <w:rFonts w:eastAsia="Arial" w:cs="Arial" w:ascii="Arial" w:hAnsi="Arial"/>
        </w:rPr>
        <w:t>, de seus funcionários ou de terceiros, ainda que ocorridos em via pública junto ao serviço de engenharia.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Fornecer os projetos executivos desenvolvidos pelo </w:t>
      </w:r>
      <w:r>
        <w:rPr>
          <w:rFonts w:eastAsia="Arial" w:cs="Arial" w:ascii="Arial" w:hAnsi="Arial"/>
          <w:b/>
          <w:bCs/>
          <w:i/>
          <w:iCs/>
        </w:rPr>
        <w:t>CONTRATADO</w:t>
      </w:r>
      <w:r>
        <w:rPr>
          <w:rFonts w:eastAsia="Arial" w:cs="Arial" w:ascii="Arial" w:hAnsi="Arial"/>
          <w:i/>
          <w:iCs/>
        </w:rPr>
        <w:t>,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1"/>
        <w:widowControl/>
        <w:spacing w:lineRule="auto" w:line="360"/>
        <w:jc w:val="both"/>
        <w:rPr>
          <w:rFonts w:ascii="Arial" w:hAnsi="Arial" w:eastAsia="Arial" w:cs="Arial"/>
          <w:i/>
          <w:iCs/>
        </w:rPr>
      </w:pPr>
      <w:r>
        <w:rPr>
          <w:rFonts w:eastAsia="Arial" w:cs="Arial" w:ascii="Arial" w:hAnsi="Arial"/>
          <w:i/>
          <w:iCs/>
        </w:rPr>
        <w:t>-</w:t>
      </w:r>
    </w:p>
    <w:p>
      <w:pPr>
        <w:pStyle w:val="normal1"/>
        <w:widowControl/>
        <w:spacing w:lineRule="auto" w:line="360"/>
        <w:jc w:val="both"/>
        <w:rPr>
          <w:rFonts w:ascii="Arial" w:hAnsi="Arial" w:eastAsia="Arial" w:cs="Arial"/>
          <w:i/>
          <w:iCs/>
        </w:rPr>
      </w:pPr>
      <w:r>
        <w:rPr>
          <w:rFonts w:eastAsia="Arial" w:cs="Arial" w:ascii="Arial" w:hAnsi="Arial"/>
          <w:i/>
          <w:iCs/>
        </w:rPr>
        <w:t>-</w:t>
      </w:r>
    </w:p>
    <w:p>
      <w:pPr>
        <w:pStyle w:val="normal1"/>
        <w:widowControl/>
        <w:spacing w:lineRule="auto" w:line="360"/>
        <w:jc w:val="both"/>
        <w:rPr>
          <w:rFonts w:ascii="Arial" w:hAnsi="Arial" w:eastAsia="Arial" w:cs="Arial"/>
          <w:i/>
          <w:iCs/>
        </w:rPr>
      </w:pPr>
      <w:r>
        <w:rPr>
          <w:rFonts w:eastAsia="Arial" w:cs="Arial" w:ascii="Arial" w:hAnsi="Arial"/>
          <w:i/>
          <w:iCs/>
        </w:rPr>
        <w:t>-</w:t>
      </w:r>
    </w:p>
    <w:p>
      <w:pPr>
        <w:pStyle w:val="normal1"/>
        <w:widowControl/>
        <w:numPr>
          <w:ilvl w:val="2"/>
          <w:numId w:val="1"/>
        </w:numPr>
        <w:spacing w:lineRule="auto" w:line="360"/>
        <w:ind w:firstLine="527" w:start="567"/>
        <w:jc w:val="both"/>
        <w:rPr>
          <w:rFonts w:ascii="Arial" w:hAnsi="Arial" w:eastAsia="Arial" w:cs="Arial"/>
          <w:i/>
          <w:iCs/>
        </w:rPr>
      </w:pPr>
      <w:r>
        <w:rPr>
          <w:rFonts w:eastAsia="Arial" w:cs="Arial" w:ascii="Arial" w:hAnsi="Arial"/>
          <w:i/>
          <w:iCs/>
        </w:rPr>
        <w:t>A elaboração dos projetos executivos deverá partir das soluções desenvolvidas nos anteprojetos constantes neste Termo de Referência e seus anexos e apresentar o detalhamento dos elementos construtivos e especificações técnicas, incorporando as alterações exigidas pelas mútuas interferências entre os diversos projetos.</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Em se tratando de atividades que envolvam serviços de natureza intelectual, após a assinatura do contrato, o </w:t>
      </w:r>
      <w:r>
        <w:rPr>
          <w:rFonts w:eastAsia="Arial" w:cs="Arial" w:ascii="Arial" w:hAnsi="Arial"/>
          <w:b/>
          <w:bCs/>
          <w:i/>
          <w:iCs/>
        </w:rPr>
        <w:t xml:space="preserve">CONTRATADO </w:t>
      </w:r>
      <w:r>
        <w:rPr>
          <w:rFonts w:eastAsia="Arial" w:cs="Arial" w:ascii="Arial" w:hAnsi="Arial"/>
          <w:i/>
          <w:iCs/>
        </w:rPr>
        <w:t>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TERCEIRA – GARANTIA DE EXECUÇÃO (Art. 92, XII, da Lei n.º 14.133/2021)</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A contratação conta com garantia de execução, nos moldes do art. 96 da Lei nº 14.133/2021, na modalidade XXXXXX, em valor correspondente a X% (XXXX por cento) do valor inicial/total/anual do contrato.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 garantia de execução é independente de eventual garantia do produto ou serviço prevista especificamente no Termo de Referência.</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QUARTA – OBRIGAÇÕES PERTINENTES À LGPD</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Os dados obtidos somente poderão ser utilizados para as finalidades que justificaram seu acesso e de acordo com a boa-fé e com os princípios do art. 6º da LGPD.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É vedado o compartilhamento com terceiros dos dados obtidos fora das hipóteses permitidas em Lei.</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 Administração deverá ser informada no prazo de 5 (cinco) dias úteis sobre todos os contratos de sub-operação firmados ou que venham a ser celebrados pelo </w:t>
      </w:r>
      <w:r>
        <w:rPr>
          <w:rFonts w:eastAsia="Arial" w:cs="Arial" w:ascii="Arial" w:hAnsi="Arial"/>
          <w:b/>
          <w:bCs/>
        </w:rPr>
        <w:t>CONTRATADO</w:t>
      </w:r>
      <w:r>
        <w:rPr>
          <w:rFonts w:eastAsia="Arial" w:cs="Arial" w:ascii="Arial" w:hAnsi="Arial"/>
        </w:rPr>
        <w:t xml:space="preserve">.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Terminado o tratamento dos dados nos termos do art. 15 da LGPD, é dever do </w:t>
      </w:r>
      <w:r>
        <w:rPr>
          <w:rFonts w:eastAsia="Arial" w:cs="Arial" w:ascii="Arial" w:hAnsi="Arial"/>
          <w:b/>
          <w:bCs/>
        </w:rPr>
        <w:t xml:space="preserve">CONTRATADO </w:t>
      </w:r>
      <w:r>
        <w:rPr>
          <w:rFonts w:eastAsia="Arial" w:cs="Arial" w:ascii="Arial" w:hAnsi="Arial"/>
        </w:rPr>
        <w:t xml:space="preserve">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É dever do </w:t>
      </w:r>
      <w:r>
        <w:rPr>
          <w:rFonts w:eastAsia="Arial" w:cs="Arial" w:ascii="Arial" w:hAnsi="Arial"/>
          <w:b/>
          <w:bCs/>
        </w:rPr>
        <w:t xml:space="preserve">CONTRATADO </w:t>
      </w:r>
      <w:r>
        <w:rPr>
          <w:rFonts w:eastAsia="Arial" w:cs="Arial" w:ascii="Arial" w:hAnsi="Arial"/>
        </w:rPr>
        <w:t xml:space="preserve">orientar e treinar seus empregados sobre os deveres, requisitos e responsabilidades decorrentes da LGPD.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CONTRATADO </w:t>
      </w:r>
      <w:r>
        <w:rPr>
          <w:rFonts w:eastAsia="Arial" w:cs="Arial" w:ascii="Arial" w:hAnsi="Arial"/>
        </w:rPr>
        <w:t>deverá exigir de sub operadores e subcontratados o cumprimento dos deveres da presente cláusula, permanecendo integralmente responsável por garantir sua observância.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CONTRATANTE </w:t>
      </w:r>
      <w:r>
        <w:rPr>
          <w:rFonts w:eastAsia="Arial" w:cs="Arial" w:ascii="Arial" w:hAnsi="Arial"/>
        </w:rPr>
        <w:t xml:space="preserve">poderá realizar diligência para aferir o cumprimento dessa cláusula, devendo o </w:t>
      </w:r>
      <w:r>
        <w:rPr>
          <w:rFonts w:eastAsia="Arial" w:cs="Arial" w:ascii="Arial" w:hAnsi="Arial"/>
          <w:b/>
          <w:bCs/>
        </w:rPr>
        <w:t xml:space="preserve">CONTRATADO </w:t>
      </w:r>
      <w:r>
        <w:rPr>
          <w:rFonts w:eastAsia="Arial" w:cs="Arial" w:ascii="Arial" w:hAnsi="Arial"/>
        </w:rPr>
        <w:t xml:space="preserve">atender prontamente eventuais pedidos de comprovação formulados.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CONTRATADO </w:t>
      </w:r>
      <w:r>
        <w:rPr>
          <w:rFonts w:eastAsia="Arial" w:cs="Arial" w:ascii="Arial" w:hAnsi="Arial"/>
        </w:rPr>
        <w:t xml:space="preserve">deverá prestar, no prazo fixado pelo </w:t>
      </w:r>
      <w:r>
        <w:rPr>
          <w:rFonts w:eastAsia="Arial" w:cs="Arial" w:ascii="Arial" w:hAnsi="Arial"/>
          <w:b/>
          <w:bCs/>
        </w:rPr>
        <w:t>CONTRATANTE</w:t>
      </w:r>
      <w:r>
        <w:rPr>
          <w:rFonts w:eastAsia="Arial" w:cs="Arial" w:ascii="Arial" w:hAnsi="Arial"/>
        </w:rPr>
        <w:t xml:space="preserve">, prorrogável justificadamente, quaisquer informações acerca dos dados pessoais para cumprimento da LGPD, inclusive quanto a eventual descarte realizado. </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Bancos de dados formados a partir de contratos administrativos, notadamente aqueles que se proponham a armazenar dados pessoais, devem ser mantidos em ambiente virtual controlado, com registro individual rastreável de tratamentos realizados (Art. 37 da LGPD), com cada acesso, data, horário e registro da finalidade, para efeito de responsabilização, em caso de eventuais omissões, desvios ou abusos.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Os referidos bancos de dados devem ser desenvolvidos em formato interoperável, a fim de garantir a reutilização desses dados pela Administração nas hipóteses previstas na LGPD.</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 contrato está sujeito a ser alterado nos procedimentos pertinentes ao tratamento de dados pessoais, quando indicado pela autoridade competente, em especial a ANPD por meio de opiniões técnicas ou recomendações, editadas na forma da LGPD.</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Os contratos e convênios de que trata o § 1º do art. 26 da LGPD deverão ser comunicados à autoridade nacional.</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QUINTA – INFRAÇÕES E SANÇÕES ADMINISTRATIVAS (Art. 92, XIV,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Comete infração administrativa, nos termos da Lei nº 14.133/2021, o </w:t>
      </w:r>
      <w:r>
        <w:rPr>
          <w:rFonts w:eastAsia="Arial" w:cs="Arial" w:ascii="Arial" w:hAnsi="Arial"/>
          <w:b/>
          <w:bCs/>
        </w:rPr>
        <w:t xml:space="preserve">CONTRATADO </w:t>
      </w:r>
      <w:r>
        <w:rPr>
          <w:rFonts w:eastAsia="Arial" w:cs="Arial" w:ascii="Arial" w:hAnsi="Arial"/>
        </w:rPr>
        <w:t>que:</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Der causa à inexecução parcial do contrato;</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Der causa à inexecução parcial do contrato que cause grave dano à Administração ou ao funcionamento dos serviços públicos ou ao interesse coletivo;</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Der causa à inexecução total do contrato;</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Ensejar o retardamento da execução ou da entrega do objeto da contratação sem motivo justificado;</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Apresentar documentação falsa ou prestar declaração falsa durante a execução do contrato;</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Praticar ato fraudulento na execução do contrato;</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Comportar-se de modo inidôneo ou cometer fraude de qualquer natureza;</w:t>
      </w:r>
    </w:p>
    <w:p>
      <w:pPr>
        <w:pStyle w:val="normal1"/>
        <w:widowControl/>
        <w:numPr>
          <w:ilvl w:val="1"/>
          <w:numId w:val="15"/>
        </w:numPr>
        <w:spacing w:lineRule="auto" w:line="360"/>
        <w:ind w:firstLine="527" w:start="567"/>
        <w:jc w:val="both"/>
        <w:rPr>
          <w:rFonts w:ascii="Arial" w:hAnsi="Arial" w:eastAsia="Arial" w:cs="Arial"/>
        </w:rPr>
      </w:pPr>
      <w:r>
        <w:rPr>
          <w:rFonts w:eastAsia="Arial" w:cs="Arial" w:ascii="Arial" w:hAnsi="Arial"/>
        </w:rPr>
        <w:t>Praticar ato lesivo previsto no art. 5º da Lei nº 12.846, de 1º de agosto de 2013.</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Serão aplicadas ao </w:t>
      </w:r>
      <w:r>
        <w:rPr>
          <w:rFonts w:eastAsia="Arial" w:cs="Arial" w:ascii="Arial" w:hAnsi="Arial"/>
          <w:b/>
          <w:bCs/>
        </w:rPr>
        <w:t xml:space="preserve">CONTRATADO </w:t>
      </w:r>
      <w:r>
        <w:rPr>
          <w:rFonts w:eastAsia="Arial" w:cs="Arial" w:ascii="Arial" w:hAnsi="Arial"/>
        </w:rPr>
        <w:t>que incorrer nas infrações acima descritas as seguintes sanções:</w:t>
      </w:r>
    </w:p>
    <w:p>
      <w:pPr>
        <w:pStyle w:val="normal1"/>
        <w:widowControl/>
        <w:numPr>
          <w:ilvl w:val="2"/>
          <w:numId w:val="6"/>
        </w:numPr>
        <w:spacing w:lineRule="auto" w:line="360"/>
        <w:ind w:firstLine="527" w:start="567"/>
        <w:jc w:val="both"/>
        <w:rPr>
          <w:rFonts w:ascii="Arial" w:hAnsi="Arial" w:eastAsia="Arial" w:cs="Arial"/>
        </w:rPr>
      </w:pPr>
      <w:r>
        <w:rPr>
          <w:rFonts w:eastAsia="Arial" w:cs="Arial" w:ascii="Arial" w:hAnsi="Arial"/>
          <w:b/>
          <w:bCs/>
        </w:rPr>
        <w:t>Advertência</w:t>
      </w:r>
      <w:r>
        <w:rPr>
          <w:rFonts w:eastAsia="Arial" w:cs="Arial" w:ascii="Arial" w:hAnsi="Arial"/>
        </w:rPr>
        <w:t xml:space="preserve">, quando o </w:t>
      </w:r>
      <w:r>
        <w:rPr>
          <w:rFonts w:eastAsia="Arial" w:cs="Arial" w:ascii="Arial" w:hAnsi="Arial"/>
          <w:b/>
          <w:bCs/>
        </w:rPr>
        <w:t xml:space="preserve">CONTRATADO </w:t>
      </w:r>
      <w:r>
        <w:rPr>
          <w:rFonts w:eastAsia="Arial" w:cs="Arial" w:ascii="Arial" w:hAnsi="Arial"/>
        </w:rPr>
        <w:t>der causa à inexecução parcial do contrato, sempre que não se justificar a imposição de penalidade mais grave (Art. 156, §2º, da Lei nº 14.133/2021);</w:t>
      </w:r>
    </w:p>
    <w:p>
      <w:pPr>
        <w:pStyle w:val="normal1"/>
        <w:widowControl/>
        <w:numPr>
          <w:ilvl w:val="2"/>
          <w:numId w:val="6"/>
        </w:numPr>
        <w:spacing w:lineRule="auto" w:line="360"/>
        <w:ind w:firstLine="527" w:start="567"/>
        <w:jc w:val="both"/>
        <w:rPr>
          <w:rFonts w:ascii="Arial" w:hAnsi="Arial" w:eastAsia="Arial" w:cs="Arial"/>
        </w:rPr>
      </w:pPr>
      <w:r>
        <w:rPr>
          <w:rFonts w:eastAsia="Arial" w:cs="Arial" w:ascii="Arial" w:hAnsi="Arial"/>
          <w:b/>
          <w:bCs/>
        </w:rPr>
        <w:t>Impedimento de licitar e contratar</w:t>
      </w:r>
      <w:r>
        <w:rPr>
          <w:rFonts w:eastAsia="Arial" w:cs="Arial" w:ascii="Arial" w:hAnsi="Arial"/>
        </w:rPr>
        <w:t>, quando praticadas as condutas descritas nas alíneas “b”, “c” e “d” do subitem acima deste Contrato, sempre que não se justificar a imposição de penalidade mais grave (Art. 156, § 4º, da Lei nº 14.133/2021);</w:t>
      </w:r>
    </w:p>
    <w:p>
      <w:pPr>
        <w:pStyle w:val="normal1"/>
        <w:widowControl/>
        <w:numPr>
          <w:ilvl w:val="2"/>
          <w:numId w:val="6"/>
        </w:numPr>
        <w:spacing w:lineRule="auto" w:line="360"/>
        <w:ind w:firstLine="527" w:start="567"/>
        <w:jc w:val="both"/>
        <w:rPr>
          <w:rFonts w:ascii="Arial" w:hAnsi="Arial" w:eastAsia="Arial" w:cs="Arial"/>
        </w:rPr>
      </w:pPr>
      <w:r>
        <w:rPr>
          <w:rFonts w:eastAsia="Arial" w:cs="Arial" w:ascii="Arial" w:hAnsi="Arial"/>
          <w:b/>
          <w:bCs/>
        </w:rPr>
        <w:t>Declaração de inidoneidade para licitar e contratar</w:t>
      </w:r>
      <w:r>
        <w:rPr>
          <w:rFonts w:eastAsia="Arial" w:cs="Arial" w:ascii="Arial" w:hAnsi="Arial"/>
        </w:rPr>
        <w:t>, quando praticadas as condutas descritas nas alíneas “e”, “f”, “g” e “h” do subitem acima deste Contrato, bem como nas alíneas “b”, “c” e “d”, que justifiquem a imposição de penalidade mais grave (Art. 156, §5º, da Lei nº 14.133/2021).</w:t>
      </w:r>
    </w:p>
    <w:p>
      <w:pPr>
        <w:pStyle w:val="normal1"/>
        <w:widowControl/>
        <w:numPr>
          <w:ilvl w:val="2"/>
          <w:numId w:val="6"/>
        </w:numPr>
        <w:spacing w:lineRule="auto" w:line="360"/>
        <w:ind w:firstLine="527" w:start="567"/>
        <w:jc w:val="both"/>
        <w:rPr>
          <w:rFonts w:ascii="Arial" w:hAnsi="Arial" w:eastAsia="Arial" w:cs="Arial"/>
        </w:rPr>
      </w:pPr>
      <w:r>
        <w:rPr>
          <w:rFonts w:eastAsia="Arial" w:cs="Arial" w:ascii="Arial" w:hAnsi="Arial"/>
          <w:b/>
          <w:bCs/>
        </w:rPr>
        <w:t>Multa</w:t>
      </w:r>
      <w:r>
        <w:rPr>
          <w:rFonts w:eastAsia="Arial" w:cs="Arial" w:ascii="Arial" w:hAnsi="Arial"/>
        </w:rPr>
        <w:t>:</w:t>
      </w:r>
    </w:p>
    <w:p>
      <w:pPr>
        <w:pStyle w:val="normal1"/>
        <w:widowControl/>
        <w:numPr>
          <w:ilvl w:val="1"/>
          <w:numId w:val="1"/>
        </w:numPr>
        <w:tabs>
          <w:tab w:val="clear" w:pos="720"/>
          <w:tab w:val="left" w:pos="1245" w:leader="none"/>
        </w:tabs>
        <w:spacing w:lineRule="auto" w:line="360" w:before="0" w:after="160"/>
        <w:ind w:hanging="360" w:start="1440"/>
        <w:jc w:val="both"/>
        <w:rPr>
          <w:rFonts w:ascii="Arial" w:hAnsi="Arial" w:eastAsia="Arial" w:cs="Arial"/>
        </w:rPr>
      </w:pPr>
      <w:r>
        <w:rPr>
          <w:rFonts w:eastAsia="Arial" w:cs="Arial" w:ascii="Arial" w:hAnsi="Arial"/>
        </w:rPr>
        <w:t xml:space="preserve">§ 3º, art. 156, da Lei 14.133/2021 – será aplicada na ocorrência de inexecução parcial ou total do contrato, bem como em ato considerado fraudulento na execução do contrato. </w:t>
      </w:r>
      <w:r>
        <w:rPr>
          <w:rFonts w:eastAsia="Arial" w:cs="Arial" w:ascii="Arial" w:hAnsi="Arial"/>
          <w:b/>
          <w:bCs/>
        </w:rPr>
        <w:t>Multa moratória</w:t>
      </w:r>
      <w:r>
        <w:rPr>
          <w:rFonts w:eastAsia="Arial" w:cs="Arial" w:ascii="Arial" w:hAnsi="Arial"/>
        </w:rPr>
        <w:t xml:space="preserve">: 1,0% (um por cento) ao dia, incidente sobre o valor do contrato, quando do atraso no cumprimento da obrigação, aumentando para 2,0 (dois por cento) se passar de 10 (dez) dias consecutivos, até o limite de 15 (quinze) dias, sendo que a partir do 16º (décimo sexto) dia de atraso, e a critério da Administração poderá ocorrer a rescisão unilateral do contrato, com a aplicação de </w:t>
      </w:r>
      <w:r>
        <w:rPr>
          <w:rFonts w:eastAsia="Arial" w:cs="Arial" w:ascii="Arial" w:hAnsi="Arial"/>
          <w:b/>
          <w:bCs/>
        </w:rPr>
        <w:t xml:space="preserve">multa compensatória – art.162 e § Ú da Lei 14.133/2021 - </w:t>
      </w:r>
      <w:r>
        <w:rPr>
          <w:rFonts w:eastAsia="Arial" w:cs="Arial" w:ascii="Arial" w:hAnsi="Arial"/>
        </w:rPr>
        <w:t xml:space="preserve"> de 20% (vinte por cento) sobre o valor do contrato. A multa tem característica cumulativa, podendo ser aplicada de forma cumulada conforme prevê o §7º do art. 156 da Lei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 aplicação das sanções previstas neste Contrato não exclui, em hipótese alguma, a obrigação de reparação integral do dano causado ao </w:t>
      </w:r>
      <w:r>
        <w:rPr>
          <w:rFonts w:eastAsia="Arial" w:cs="Arial" w:ascii="Arial" w:hAnsi="Arial"/>
          <w:b/>
          <w:bCs/>
        </w:rPr>
        <w:t xml:space="preserve">CONTRATANTE </w:t>
      </w:r>
      <w:r>
        <w:rPr>
          <w:rFonts w:eastAsia="Arial" w:cs="Arial" w:ascii="Arial" w:hAnsi="Arial"/>
        </w:rPr>
        <w:t>(Art. 156, §9º,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Todas as sanções previstas neste Contrato poderão ser aplicadas cumulativamente com a multa (Art. 156, §7º, da Lei nº 14.133/2021).</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Antes da aplicação da multa será facultada a defesa do interessado no prazo de 15 (quinze) dias úteis, contado da data de sua intimação (Art. 157, da Lei nº 14.133/2021).</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 xml:space="preserve">Se a multa aplicada e as indenizações cabíveis forem superiores ao valor do pagamento eventualmente devido pelo </w:t>
      </w:r>
      <w:r>
        <w:rPr>
          <w:rFonts w:eastAsia="Arial" w:cs="Arial" w:ascii="Arial" w:hAnsi="Arial"/>
          <w:b/>
          <w:bCs/>
        </w:rPr>
        <w:t xml:space="preserve">CONTRATANTE </w:t>
      </w:r>
      <w:r>
        <w:rPr>
          <w:rFonts w:eastAsia="Arial" w:cs="Arial" w:ascii="Arial" w:hAnsi="Arial"/>
        </w:rPr>
        <w:t xml:space="preserve">ao </w:t>
      </w:r>
      <w:r>
        <w:rPr>
          <w:rFonts w:eastAsia="Arial" w:cs="Arial" w:ascii="Arial" w:hAnsi="Arial"/>
          <w:b/>
          <w:bCs/>
        </w:rPr>
        <w:t>CONTRATADO</w:t>
      </w:r>
      <w:r>
        <w:rPr>
          <w:rFonts w:eastAsia="Arial" w:cs="Arial" w:ascii="Arial" w:hAnsi="Arial"/>
        </w:rPr>
        <w:t>, além da perda desse valor, a diferença será descontada da garantia prestada ou será cobrada judicialmente (Art. 156, §8º, da Lei nº 14.133/2021).</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Previamente ao encaminhamento à cobrança judicial, a multa poderá ser recolhida administrativamente no prazo máximo de 20 (vinte) dias, a contar da data do recebimento da comunicação enviada pela autoridade competente.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 aplicação das sanções realizar-se-á em processo administrativo que assegure o contraditório e a ampla defesa ao </w:t>
      </w:r>
      <w:r>
        <w:rPr>
          <w:rFonts w:eastAsia="Arial" w:cs="Arial" w:ascii="Arial" w:hAnsi="Arial"/>
          <w:b/>
          <w:bCs/>
        </w:rPr>
        <w:t>CONTRATADO</w:t>
      </w:r>
      <w:r>
        <w:rPr>
          <w:rFonts w:eastAsia="Arial" w:cs="Arial" w:ascii="Arial" w:hAnsi="Arial"/>
        </w:rPr>
        <w:t xml:space="preserve">, observando-se o procedimento previsto no </w:t>
      </w:r>
      <w:r>
        <w:rPr>
          <w:rFonts w:eastAsia="Arial" w:cs="Arial" w:ascii="Arial" w:hAnsi="Arial"/>
          <w:b/>
          <w:bCs/>
          <w:i/>
          <w:iCs/>
        </w:rPr>
        <w:t xml:space="preserve">caput </w:t>
      </w:r>
      <w:r>
        <w:rPr>
          <w:rFonts w:eastAsia="Arial" w:cs="Arial" w:ascii="Arial" w:hAnsi="Arial"/>
        </w:rPr>
        <w:t>e parágrafos do art. 158 da Lei nº 14.133/2021, para as penalidades de impedimento de licitar e contratar e de declaração de inidoneidade para licitar ou contratar.</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Na aplicação das sanções serão considerados (Art. 156, §1º, da Lei nº 14.133/2021):</w:t>
      </w:r>
    </w:p>
    <w:p>
      <w:pPr>
        <w:pStyle w:val="normal1"/>
        <w:widowControl/>
        <w:numPr>
          <w:ilvl w:val="1"/>
          <w:numId w:val="18"/>
        </w:numPr>
        <w:spacing w:lineRule="auto" w:line="360"/>
        <w:ind w:firstLine="357" w:start="283"/>
        <w:jc w:val="both"/>
        <w:rPr>
          <w:rFonts w:ascii="Arial" w:hAnsi="Arial" w:eastAsia="Arial" w:cs="Arial"/>
          <w:b w:val="false"/>
          <w:bCs w:val="false"/>
        </w:rPr>
      </w:pPr>
      <w:r>
        <w:rPr>
          <w:rFonts w:eastAsia="Arial" w:cs="Arial" w:ascii="Arial" w:hAnsi="Arial"/>
        </w:rPr>
        <w:t>A natureza e a gravidade da infração cometida;</w:t>
      </w:r>
    </w:p>
    <w:p>
      <w:pPr>
        <w:pStyle w:val="normal1"/>
        <w:widowControl/>
        <w:numPr>
          <w:ilvl w:val="1"/>
          <w:numId w:val="18"/>
        </w:numPr>
        <w:spacing w:lineRule="auto" w:line="360"/>
        <w:ind w:firstLine="357" w:start="283"/>
        <w:jc w:val="both"/>
        <w:rPr>
          <w:rFonts w:ascii="Arial" w:hAnsi="Arial" w:eastAsia="Arial" w:cs="Arial"/>
          <w:b w:val="false"/>
          <w:bCs w:val="false"/>
        </w:rPr>
      </w:pPr>
      <w:r>
        <w:rPr>
          <w:rFonts w:eastAsia="Arial" w:cs="Arial" w:ascii="Arial" w:hAnsi="Arial"/>
        </w:rPr>
        <w:t>As peculiaridades do caso concreto;</w:t>
      </w:r>
    </w:p>
    <w:p>
      <w:pPr>
        <w:pStyle w:val="normal1"/>
        <w:widowControl/>
        <w:numPr>
          <w:ilvl w:val="1"/>
          <w:numId w:val="18"/>
        </w:numPr>
        <w:spacing w:lineRule="auto" w:line="360"/>
        <w:ind w:firstLine="357" w:start="283"/>
        <w:jc w:val="both"/>
        <w:rPr>
          <w:rFonts w:ascii="Arial" w:hAnsi="Arial" w:eastAsia="Arial" w:cs="Arial"/>
          <w:b w:val="false"/>
          <w:bCs w:val="false"/>
        </w:rPr>
      </w:pPr>
      <w:r>
        <w:rPr>
          <w:rFonts w:eastAsia="Arial" w:cs="Arial" w:ascii="Arial" w:hAnsi="Arial"/>
        </w:rPr>
        <w:t>As circunstâncias agravantes ou atenuantes;</w:t>
      </w:r>
    </w:p>
    <w:p>
      <w:pPr>
        <w:pStyle w:val="normal1"/>
        <w:widowControl/>
        <w:numPr>
          <w:ilvl w:val="1"/>
          <w:numId w:val="18"/>
        </w:numPr>
        <w:spacing w:lineRule="auto" w:line="360"/>
        <w:ind w:firstLine="357" w:start="283"/>
        <w:jc w:val="both"/>
        <w:rPr>
          <w:rFonts w:ascii="Arial" w:hAnsi="Arial" w:eastAsia="Arial" w:cs="Arial"/>
          <w:b w:val="false"/>
          <w:bCs w:val="false"/>
        </w:rPr>
      </w:pPr>
      <w:r>
        <w:rPr>
          <w:rFonts w:eastAsia="Arial" w:cs="Arial" w:ascii="Arial" w:hAnsi="Arial"/>
        </w:rPr>
        <w:t xml:space="preserve">Os danos que dela provierem para o </w:t>
      </w:r>
      <w:r>
        <w:rPr>
          <w:rFonts w:eastAsia="Arial" w:cs="Arial" w:ascii="Arial" w:hAnsi="Arial"/>
          <w:b/>
          <w:bCs/>
        </w:rPr>
        <w:t>contratante</w:t>
      </w:r>
      <w:r>
        <w:rPr>
          <w:rFonts w:eastAsia="Arial" w:cs="Arial" w:ascii="Arial" w:hAnsi="Arial"/>
        </w:rPr>
        <w:t>;</w:t>
      </w:r>
    </w:p>
    <w:p>
      <w:pPr>
        <w:pStyle w:val="normal1"/>
        <w:widowControl/>
        <w:numPr>
          <w:ilvl w:val="1"/>
          <w:numId w:val="18"/>
        </w:numPr>
        <w:spacing w:lineRule="auto" w:line="360"/>
        <w:ind w:firstLine="357" w:start="283"/>
        <w:jc w:val="both"/>
        <w:rPr>
          <w:rFonts w:ascii="Arial" w:hAnsi="Arial" w:eastAsia="Arial" w:cs="Arial"/>
          <w:b w:val="false"/>
          <w:bCs w:val="false"/>
        </w:rPr>
      </w:pPr>
      <w:r>
        <w:rPr>
          <w:rFonts w:eastAsia="Arial" w:cs="Arial" w:ascii="Arial" w:hAnsi="Arial"/>
        </w:rPr>
        <w:t>A implantação ou o aperfeiçoamento de programa de integridade, conforme normas e orientações dos órgãos de controle.</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A personalidade jurídica do </w:t>
      </w:r>
      <w:r>
        <w:rPr>
          <w:rFonts w:eastAsia="Arial" w:cs="Arial" w:ascii="Arial" w:hAnsi="Arial"/>
          <w:b/>
          <w:bCs/>
        </w:rPr>
        <w:t xml:space="preserve">CONTRATADO </w:t>
      </w:r>
      <w:r>
        <w:rPr>
          <w:rFonts w:eastAsia="Arial" w:cs="Arial" w:ascii="Arial" w:hAnsi="Arial"/>
        </w:rPr>
        <w:t xml:space="preserve">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Pr>
          <w:rFonts w:eastAsia="Arial" w:cs="Arial" w:ascii="Arial" w:hAnsi="Arial"/>
          <w:b/>
          <w:bCs/>
        </w:rPr>
        <w:t>CONTRATADO</w:t>
      </w:r>
      <w:r>
        <w:rPr>
          <w:rFonts w:eastAsia="Arial" w:cs="Arial" w:ascii="Arial" w:hAnsi="Arial"/>
        </w:rPr>
        <w:t>, observados, em todos os casos, o contraditório, a ampla defesa e a obrigatoriedade de análise jurídica prévia (Art. 160,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w:t>
      </w:r>
      <w:r>
        <w:rPr>
          <w:rFonts w:eastAsia="Arial" w:cs="Arial" w:ascii="Arial" w:hAnsi="Arial"/>
          <w:b/>
          <w:bCs/>
        </w:rPr>
        <w:t xml:space="preserve">CONTRATANTE </w:t>
      </w:r>
      <w:r>
        <w:rPr>
          <w:rFonts w:eastAsia="Arial" w:cs="Arial" w:ascii="Arial" w:hAnsi="Arial"/>
        </w:rPr>
        <w:t>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As sanções de impedimento de licitar e contratar e declaração de inidoneidade para licitar ou contratar são passíveis de reabilitação na forma do art. 163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Os débitos do </w:t>
      </w:r>
      <w:r>
        <w:rPr>
          <w:rFonts w:eastAsia="Arial" w:cs="Arial" w:ascii="Arial" w:hAnsi="Arial"/>
          <w:b/>
          <w:bCs/>
        </w:rPr>
        <w:t xml:space="preserve">CONTRATADO </w:t>
      </w:r>
      <w:r>
        <w:rPr>
          <w:rFonts w:eastAsia="Arial" w:cs="Arial" w:ascii="Arial" w:hAnsi="Arial"/>
        </w:rPr>
        <w:t xml:space="preserve">para com a Administração </w:t>
      </w:r>
      <w:r>
        <w:rPr>
          <w:rFonts w:eastAsia="Arial" w:cs="Arial" w:ascii="Arial" w:hAnsi="Arial"/>
          <w:b/>
          <w:bCs/>
        </w:rPr>
        <w:t>CONTRATANTE</w:t>
      </w:r>
      <w:r>
        <w:rPr>
          <w:rFonts w:eastAsia="Arial" w:cs="Arial" w:ascii="Arial" w:hAnsi="Arial"/>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Pr>
          <w:rFonts w:eastAsia="Arial" w:cs="Arial" w:ascii="Arial" w:hAnsi="Arial"/>
          <w:b/>
          <w:bCs/>
        </w:rPr>
        <w:t xml:space="preserve">CONTRATADO </w:t>
      </w:r>
      <w:r>
        <w:rPr>
          <w:rFonts w:eastAsia="Arial" w:cs="Arial" w:ascii="Arial" w:hAnsi="Arial"/>
        </w:rPr>
        <w:t xml:space="preserve">possua com o mesmo órgão, ora </w:t>
      </w:r>
      <w:r>
        <w:rPr>
          <w:rFonts w:eastAsia="Arial" w:cs="Arial" w:ascii="Arial" w:hAnsi="Arial"/>
          <w:b/>
          <w:bCs/>
        </w:rPr>
        <w:t>CONTRATANTE</w:t>
      </w:r>
      <w:r>
        <w:rPr>
          <w:rFonts w:eastAsia="Arial" w:cs="Arial" w:ascii="Arial" w:hAnsi="Arial"/>
        </w:rPr>
        <w:t xml:space="preserve">, na forma da Instrução Normativa SEGES/ME nº 26, de 13 de abril de 2022. </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SEXTA – EXTINÇÃO CONTRATUAL</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O contrato será extinto quando vencido o prazo nele estipulado, independentemente de terem sido cumpridas ou não as obrigações de ambas as partes contraentes.</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O contrato poderá ser extinto antes do prazo nele fixado, sem ônus para o </w:t>
      </w:r>
      <w:r>
        <w:rPr>
          <w:rFonts w:eastAsia="Arial" w:cs="Arial" w:ascii="Arial" w:hAnsi="Arial"/>
          <w:b/>
          <w:bCs/>
          <w:i/>
          <w:iCs/>
        </w:rPr>
        <w:t>CONTRATANTE</w:t>
      </w:r>
      <w:r>
        <w:rPr>
          <w:rFonts w:eastAsia="Arial" w:cs="Arial" w:ascii="Arial" w:hAnsi="Arial"/>
          <w:i/>
          <w:iCs/>
        </w:rPr>
        <w:t>, quando esta não dispuser de créditos orçamentários para sua continuidade ou quando entender que o contrato não mais lhe oferece vantagem.</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 xml:space="preserve">A extinção nesta hipótese ocorrerá na próxima data de aniversário do contrato, desde que haja a notificação do </w:t>
      </w:r>
      <w:r>
        <w:rPr>
          <w:rFonts w:eastAsia="Arial" w:cs="Arial" w:ascii="Arial" w:hAnsi="Arial"/>
          <w:b/>
          <w:bCs/>
          <w:i/>
          <w:iCs/>
        </w:rPr>
        <w:t xml:space="preserve">CONTRATADO </w:t>
      </w:r>
      <w:r>
        <w:rPr>
          <w:rFonts w:eastAsia="Arial" w:cs="Arial" w:ascii="Arial" w:hAnsi="Arial"/>
          <w:i/>
          <w:iCs/>
        </w:rPr>
        <w:t xml:space="preserve">pelo </w:t>
      </w:r>
      <w:r>
        <w:rPr>
          <w:rFonts w:eastAsia="Arial" w:cs="Arial" w:ascii="Arial" w:hAnsi="Arial"/>
          <w:b/>
          <w:bCs/>
          <w:i/>
          <w:iCs/>
        </w:rPr>
        <w:t xml:space="preserve">CONTRATANTE </w:t>
      </w:r>
      <w:r>
        <w:rPr>
          <w:rFonts w:eastAsia="Arial" w:cs="Arial" w:ascii="Arial" w:hAnsi="Arial"/>
          <w:i/>
          <w:iCs/>
        </w:rPr>
        <w:t>nesse sentido com pelo menos 2 (dois) meses de antecedência desse dia.</w:t>
      </w:r>
    </w:p>
    <w:p>
      <w:pPr>
        <w:pStyle w:val="normal1"/>
        <w:widowControl/>
        <w:numPr>
          <w:ilvl w:val="1"/>
          <w:numId w:val="1"/>
        </w:numPr>
        <w:spacing w:lineRule="auto" w:line="360"/>
        <w:ind w:firstLine="357" w:start="283"/>
        <w:jc w:val="both"/>
        <w:rPr>
          <w:rFonts w:ascii="Arial" w:hAnsi="Arial" w:eastAsia="Arial" w:cs="Arial"/>
          <w:i/>
          <w:iCs/>
        </w:rPr>
      </w:pPr>
      <w:r>
        <w:rPr>
          <w:rFonts w:eastAsia="Arial" w:cs="Arial" w:ascii="Arial" w:hAnsi="Arial"/>
          <w:i/>
          <w:iCs/>
        </w:rPr>
        <w:t>Caso a notificação da não-continuidade do contrato de que trata este subitem ocorra com menos de 2 (dois) meses da data de aniversário, a extinção contratual ocorrerá após 2 (dois) meses da data da comunicação.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 contrato poderá ser extinto antes de cumpridas as obrigações nele estipuladas, ou  antes do prazo nele fixado, por algum dos motivos previstos no artigo 137 da Lei nº 14.133/2021, bem como amigavelmente, assegurados o contraditório e a ampla defesa.</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Nesta hipótese, aplicam-se também os arts. 138 e 139 da mesma Lei.</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A alteração social ou a modificação da finalidade ou da estrutura da empresa não ensejará a extinção se não restringir sua capacidade de concluir o contrato.</w:t>
      </w:r>
    </w:p>
    <w:p>
      <w:pPr>
        <w:pStyle w:val="normal1"/>
        <w:widowControl/>
        <w:numPr>
          <w:ilvl w:val="3"/>
          <w:numId w:val="1"/>
        </w:numPr>
        <w:spacing w:lineRule="auto" w:line="360"/>
        <w:ind w:firstLine="697" w:start="850"/>
        <w:jc w:val="both"/>
        <w:rPr>
          <w:rFonts w:ascii="Arial" w:hAnsi="Arial" w:eastAsia="Arial" w:cs="Arial"/>
        </w:rPr>
      </w:pPr>
      <w:r>
        <w:rPr>
          <w:rFonts w:eastAsia="Arial" w:cs="Arial" w:ascii="Arial" w:hAnsi="Arial"/>
        </w:rPr>
        <w:t>Se a operação implicar mudança da pessoa jurídica contratada, deverá ser formalizado termo aditivo para alteração subjetiva.</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O termo de extinção, sempre que possível, será precedido:</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Balanço dos eventos contratuais já cumpridos ou parcialmente cumpridos;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Relação dos pagamentos já efetuados e ainda devidos;</w:t>
      </w:r>
    </w:p>
    <w:p>
      <w:pPr>
        <w:pStyle w:val="normal1"/>
        <w:widowControl/>
        <w:numPr>
          <w:ilvl w:val="2"/>
          <w:numId w:val="1"/>
        </w:numPr>
        <w:spacing w:lineRule="auto" w:line="360"/>
        <w:ind w:firstLine="527" w:start="567"/>
        <w:jc w:val="both"/>
        <w:rPr>
          <w:rFonts w:ascii="Arial" w:hAnsi="Arial" w:eastAsia="Arial" w:cs="Arial"/>
        </w:rPr>
      </w:pPr>
      <w:r>
        <w:rPr>
          <w:rFonts w:eastAsia="Arial" w:cs="Arial" w:ascii="Arial" w:hAnsi="Arial"/>
        </w:rPr>
        <w:t>Indenizações e multas.</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A extinção do contrato não configura óbice para o reconhecimento do desequilíbrio econômico-financeiro, hipótese em que será concedida indenização por meio de termo indenizatório (Art. 131, caput,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 contrato poderá ser extinto caso se constate que o </w:t>
      </w:r>
      <w:r>
        <w:rPr>
          <w:rFonts w:eastAsia="Arial" w:cs="Arial" w:ascii="Arial" w:hAnsi="Arial"/>
          <w:b/>
          <w:bCs/>
        </w:rPr>
        <w:t xml:space="preserve">CONTRATADO </w:t>
      </w:r>
      <w:r>
        <w:rPr>
          <w:rFonts w:eastAsia="Arial" w:cs="Arial" w:ascii="Arial" w:hAnsi="Arial"/>
        </w:rPr>
        <w:t xml:space="preserve">mantém vínculo de natureza técnica, comercial, econômica, financeira, trabalhista ou civil com dirigente do órgão ou entidade </w:t>
      </w:r>
      <w:r>
        <w:rPr>
          <w:rFonts w:eastAsia="Arial" w:cs="Arial" w:ascii="Arial" w:hAnsi="Arial"/>
          <w:b/>
          <w:bCs/>
        </w:rPr>
        <w:t xml:space="preserve">CONTRATANTE </w:t>
      </w:r>
      <w:r>
        <w:rPr>
          <w:rFonts w:eastAsia="Arial" w:cs="Arial" w:ascii="Arial" w:hAnsi="Arial"/>
        </w:rPr>
        <w:t>ou com agente público que tenha desempenhado função na licitação ou atue na fiscalização ou na gestão do contrato, ou que deles seja cônjuge, companheiro ou parente em linha reta, colateral ou por afinidade, até o terceiro grau (Art. 14, IV, da Lei n.º 14.133/2021).</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SÉTIMA – LEGISLAÇÃO APLICÁVEL</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Nos termos do previsto no art. 92, III, da Lei nº 14.133/2021, aplica-se ao presente contrato a presente legislação:</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Lei nº 14.133/2021;</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Lei Complementar nº 123/2006;</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Lei nº 13.709/2018 (LGPD);</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Código de Defesa do Consumidor;</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Código Civil;</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Código Penal;</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Código Processo Civil;</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Código Processo Penal;</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Legislação trabalhista e previdenciária;</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Estatuto da Criança e do Adolescente;</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Lei Federal n.º 12.846/2023; e</w:t>
      </w:r>
    </w:p>
    <w:p>
      <w:pPr>
        <w:pStyle w:val="normal1"/>
        <w:widowControl/>
        <w:numPr>
          <w:ilvl w:val="1"/>
          <w:numId w:val="23"/>
        </w:numPr>
        <w:spacing w:lineRule="auto" w:line="360"/>
        <w:ind w:firstLine="357" w:start="283"/>
        <w:jc w:val="both"/>
        <w:rPr>
          <w:rFonts w:ascii="Arial" w:hAnsi="Arial" w:eastAsia="Arial" w:cs="Arial"/>
        </w:rPr>
      </w:pPr>
      <w:r>
        <w:rPr>
          <w:rFonts w:eastAsia="Arial" w:cs="Arial" w:ascii="Arial" w:hAnsi="Arial"/>
        </w:rPr>
        <w:t>Demais normas aplicáveis.</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OITAVA – DOS CASOS OMISSOS (Art. 92, III,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Os casos omissos serão decididos pelo </w:t>
      </w:r>
      <w:r>
        <w:rPr>
          <w:rFonts w:eastAsia="Arial" w:cs="Arial" w:ascii="Arial" w:hAnsi="Arial"/>
          <w:b/>
          <w:bCs/>
        </w:rPr>
        <w:t>CONTRATANTE</w:t>
      </w:r>
      <w:r>
        <w:rPr>
          <w:rFonts w:eastAsia="Arial" w:cs="Arial" w:ascii="Arial" w:hAnsi="Arial"/>
        </w:rPr>
        <w:t>, segundo as disposições contidas na Lei nº 14.133/2021, e demais normas federais e municipais aplicáveis e, subsidiariamente, segundo as disposições contidas na Lei nº 8.078/1990 – Código de Defesa do Consumidor – e normas e princípios gerais dos contratos.</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DÉCIMA NONA – PUBLICAÇÃO</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 xml:space="preserve">Incumbirá ao </w:t>
      </w:r>
      <w:r>
        <w:rPr>
          <w:rFonts w:eastAsia="Arial" w:cs="Arial" w:ascii="Arial" w:hAnsi="Arial"/>
          <w:b/>
          <w:bCs/>
        </w:rPr>
        <w:t xml:space="preserve">CONTRATANTE </w:t>
      </w:r>
      <w:r>
        <w:rPr>
          <w:rFonts w:eastAsia="Arial" w:cs="Arial" w:ascii="Arial" w:hAnsi="Arial"/>
        </w:rPr>
        <w:t>divulgar o presente instrumento no Portal Nacional de Contratações Públicas (PNCP), na forma prevista no art. 94 da Lei 14.133/2021, bem como no respectivo sítio oficial na Internet, em atenção ao art. 91, caput, da Lei n.º 14.133/2021.</w:t>
      </w:r>
    </w:p>
    <w:p>
      <w:pPr>
        <w:pStyle w:val="normal1"/>
        <w:widowControl/>
        <w:numPr>
          <w:ilvl w:val="0"/>
          <w:numId w:val="1"/>
        </w:numPr>
        <w:spacing w:lineRule="auto" w:line="360" w:before="200" w:after="200"/>
        <w:jc w:val="both"/>
        <w:rPr>
          <w:rFonts w:ascii="Arial" w:hAnsi="Arial" w:eastAsia="Arial" w:cs="Arial"/>
          <w:b/>
          <w:bCs/>
          <w:color w:val="FFFFFF"/>
        </w:rPr>
      </w:pPr>
      <w:r>
        <w:rPr>
          <w:rFonts w:eastAsia="Arial" w:cs="Arial" w:ascii="Arial" w:hAnsi="Arial"/>
          <w:b/>
          <w:bCs/>
        </w:rPr>
        <w:t>CLÁUSULA VIGÉSIMA – FORO (Art. 92, §1º, da Lei n.º 14.133/2021)</w:t>
      </w:r>
    </w:p>
    <w:p>
      <w:pPr>
        <w:pStyle w:val="normal1"/>
        <w:widowControl/>
        <w:numPr>
          <w:ilvl w:val="1"/>
          <w:numId w:val="1"/>
        </w:numPr>
        <w:spacing w:lineRule="auto" w:line="360"/>
        <w:ind w:firstLine="357" w:start="283"/>
        <w:jc w:val="both"/>
        <w:rPr>
          <w:rFonts w:ascii="Arial" w:hAnsi="Arial" w:eastAsia="Arial" w:cs="Arial"/>
        </w:rPr>
      </w:pPr>
      <w:r>
        <w:rPr>
          <w:rFonts w:eastAsia="Arial" w:cs="Arial" w:ascii="Arial" w:hAnsi="Arial"/>
        </w:rPr>
        <w:t>Fica eleito o Foro da Capital, para dirimir os litígios que decorrerem da execução deste Termo de Contrato que não puderem ser compostos pela conciliação, conforme art. 92, §1º, da Lei nº 14.133/2021.</w:t>
      </w:r>
    </w:p>
    <w:p>
      <w:pPr>
        <w:pStyle w:val="normal1"/>
        <w:widowControl/>
        <w:spacing w:lineRule="auto" w:line="360"/>
        <w:ind w:hanging="1"/>
        <w:jc w:val="both"/>
        <w:rPr>
          <w:rFonts w:ascii="Arial" w:hAnsi="Arial" w:eastAsia="Arial" w:cs="Arial"/>
        </w:rPr>
      </w:pPr>
      <w:r>
        <w:rPr>
          <w:rFonts w:eastAsia="Arial" w:cs="Arial" w:ascii="Arial" w:hAnsi="Arial"/>
        </w:rPr>
      </w:r>
    </w:p>
    <w:p>
      <w:pPr>
        <w:pStyle w:val="normal1"/>
        <w:widowControl/>
        <w:spacing w:lineRule="auto" w:line="360"/>
        <w:ind w:hanging="1"/>
        <w:jc w:val="end"/>
        <w:rPr>
          <w:rFonts w:ascii="Arial" w:hAnsi="Arial" w:eastAsia="Arial" w:cs="Arial"/>
        </w:rPr>
      </w:pPr>
      <w:r>
        <w:rPr>
          <w:rFonts w:eastAsia="Arial" w:cs="Arial" w:ascii="Arial" w:hAnsi="Arial"/>
        </w:rPr>
        <w:t>[Local], [dia] de [mês] de [ano].</w:t>
      </w:r>
    </w:p>
    <w:p>
      <w:pPr>
        <w:pStyle w:val="normal1"/>
        <w:widowControl/>
        <w:spacing w:lineRule="auto" w:line="360"/>
        <w:ind w:hanging="1"/>
        <w:jc w:val="both"/>
        <w:rPr>
          <w:rFonts w:ascii="Arial" w:hAnsi="Arial" w:eastAsia="Arial" w:cs="Arial"/>
        </w:rPr>
      </w:pPr>
      <w:r>
        <w:rPr>
          <w:rFonts w:eastAsia="Arial" w:cs="Arial" w:ascii="Arial" w:hAnsi="Arial"/>
        </w:rPr>
      </w:r>
    </w:p>
    <w:p>
      <w:pPr>
        <w:pStyle w:val="normal1"/>
        <w:widowControl/>
        <w:spacing w:lineRule="auto" w:line="360"/>
        <w:ind w:hanging="1"/>
        <w:jc w:val="both"/>
        <w:rPr>
          <w:rFonts w:ascii="Arial" w:hAnsi="Arial" w:eastAsia="Arial" w:cs="Arial"/>
        </w:rPr>
      </w:pPr>
      <w:r>
        <w:rPr>
          <w:rFonts w:eastAsia="Arial" w:cs="Arial" w:ascii="Arial" w:hAnsi="Arial"/>
        </w:rPr>
        <w:t>_________________________</w:t>
      </w:r>
    </w:p>
    <w:p>
      <w:pPr>
        <w:pStyle w:val="normal1"/>
        <w:widowControl/>
        <w:spacing w:lineRule="auto" w:line="360"/>
        <w:ind w:hanging="1"/>
        <w:jc w:val="both"/>
        <w:rPr>
          <w:rFonts w:ascii="Arial" w:hAnsi="Arial" w:eastAsia="Arial" w:cs="Arial"/>
        </w:rPr>
      </w:pPr>
      <w:r>
        <w:rPr>
          <w:rFonts w:eastAsia="Arial" w:cs="Arial" w:ascii="Arial" w:hAnsi="Arial"/>
        </w:rPr>
        <w:t>Representante legal do CONTRATANTE</w:t>
      </w:r>
    </w:p>
    <w:p>
      <w:pPr>
        <w:pStyle w:val="normal1"/>
        <w:widowControl/>
        <w:spacing w:lineRule="auto" w:line="360"/>
        <w:ind w:hanging="1"/>
        <w:jc w:val="both"/>
        <w:rPr>
          <w:rFonts w:ascii="Arial" w:hAnsi="Arial" w:eastAsia="Arial" w:cs="Arial"/>
        </w:rPr>
      </w:pPr>
      <w:r>
        <w:rPr>
          <w:rFonts w:eastAsia="Arial" w:cs="Arial" w:ascii="Arial" w:hAnsi="Arial"/>
        </w:rPr>
      </w:r>
    </w:p>
    <w:p>
      <w:pPr>
        <w:pStyle w:val="normal1"/>
        <w:widowControl/>
        <w:spacing w:lineRule="auto" w:line="360"/>
        <w:ind w:hanging="1"/>
        <w:jc w:val="both"/>
        <w:rPr>
          <w:rFonts w:ascii="Arial" w:hAnsi="Arial" w:eastAsia="Arial" w:cs="Arial"/>
        </w:rPr>
      </w:pPr>
      <w:r>
        <w:rPr>
          <w:rFonts w:eastAsia="Arial" w:cs="Arial" w:ascii="Arial" w:hAnsi="Arial"/>
        </w:rPr>
        <w:t>_________________________</w:t>
      </w:r>
    </w:p>
    <w:p>
      <w:pPr>
        <w:pStyle w:val="normal1"/>
        <w:widowControl/>
        <w:spacing w:lineRule="auto" w:line="360"/>
        <w:ind w:hanging="1"/>
        <w:jc w:val="both"/>
        <w:rPr>
          <w:rFonts w:ascii="Arial" w:hAnsi="Arial" w:eastAsia="Arial" w:cs="Arial"/>
        </w:rPr>
      </w:pPr>
      <w:r>
        <w:rPr>
          <w:rFonts w:eastAsia="Arial" w:cs="Arial" w:ascii="Arial" w:hAnsi="Arial"/>
        </w:rPr>
        <w:t>Representante legal do CONTRATADO</w:t>
      </w:r>
    </w:p>
    <w:p>
      <w:pPr>
        <w:pStyle w:val="normal1"/>
        <w:widowControl/>
        <w:spacing w:lineRule="auto" w:line="360"/>
        <w:ind w:hanging="1"/>
        <w:jc w:val="both"/>
        <w:rPr>
          <w:rFonts w:ascii="Arial" w:hAnsi="Arial" w:eastAsia="Arial" w:cs="Arial"/>
        </w:rPr>
      </w:pPr>
      <w:r>
        <w:rPr>
          <w:rFonts w:eastAsia="Arial" w:cs="Arial" w:ascii="Arial" w:hAnsi="Arial"/>
        </w:rPr>
      </w:r>
    </w:p>
    <w:p>
      <w:pPr>
        <w:pStyle w:val="normal1"/>
        <w:widowControl/>
        <w:spacing w:lineRule="auto" w:line="360"/>
        <w:ind w:hanging="1"/>
        <w:jc w:val="both"/>
        <w:rPr>
          <w:rFonts w:ascii="Arial" w:hAnsi="Arial" w:eastAsia="Arial" w:cs="Arial"/>
        </w:rPr>
      </w:pPr>
      <w:r>
        <w:rPr>
          <w:rFonts w:eastAsia="Arial" w:cs="Arial" w:ascii="Arial" w:hAnsi="Arial"/>
        </w:rPr>
        <w:t>TESTEMUNHAS:</w:t>
      </w:r>
    </w:p>
    <w:p>
      <w:pPr>
        <w:pStyle w:val="normal1"/>
        <w:widowControl/>
        <w:spacing w:lineRule="auto" w:line="360"/>
        <w:ind w:hanging="1"/>
        <w:jc w:val="both"/>
        <w:rPr>
          <w:rFonts w:ascii="Arial" w:hAnsi="Arial" w:eastAsia="Arial" w:cs="Arial"/>
        </w:rPr>
      </w:pPr>
      <w:r>
        <w:rPr>
          <w:rFonts w:eastAsia="Arial" w:cs="Arial" w:ascii="Arial" w:hAnsi="Arial"/>
        </w:rPr>
        <w:t>1-</w:t>
      </w:r>
    </w:p>
    <w:p>
      <w:pPr>
        <w:pStyle w:val="normal1"/>
        <w:widowControl/>
        <w:spacing w:lineRule="auto" w:line="360"/>
        <w:ind w:hanging="1"/>
        <w:jc w:val="both"/>
        <w:rPr>
          <w:rFonts w:ascii="Arial" w:hAnsi="Arial" w:eastAsia="Arial" w:cs="Arial"/>
        </w:rPr>
      </w:pPr>
      <w:r>
        <w:rPr>
          <w:rFonts w:eastAsia="Arial" w:cs="Arial" w:ascii="Arial" w:hAnsi="Arial"/>
        </w:rPr>
        <w:t xml:space="preserve">2- </w:t>
      </w:r>
    </w:p>
    <w:p>
      <w:pPr>
        <w:pStyle w:val="normal1"/>
        <w:widowControl/>
        <w:spacing w:lineRule="auto" w:line="360"/>
        <w:ind w:hanging="1"/>
        <w:jc w:val="both"/>
        <w:rPr>
          <w:rFonts w:ascii="Arial" w:hAnsi="Arial" w:eastAsia="Arial" w:cs="Arial"/>
        </w:rPr>
      </w:pPr>
      <w:r>
        <w:rPr>
          <w:rFonts w:eastAsia="Arial" w:cs="Arial" w:ascii="Arial" w:hAnsi="Arial"/>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start"/>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start"/>
        <w:rPr>
          <w:rFonts w:ascii="Arial" w:hAnsi="Arial" w:eastAsia="Arial" w:cs="Arial"/>
          <w:b/>
          <w:bCs/>
        </w:rPr>
      </w:pPr>
      <w:r>
        <w:rPr>
          <w:rFonts w:eastAsia="Arial" w:cs="Arial" w:ascii="Arial" w:hAnsi="Arial"/>
          <w:b/>
          <w:bCs/>
        </w:rPr>
      </w:r>
    </w:p>
    <w:p>
      <w:pPr>
        <w:pStyle w:val="normal1"/>
        <w:tabs>
          <w:tab w:val="clear" w:pos="720"/>
          <w:tab w:val="left" w:pos="478" w:leader="none"/>
        </w:tabs>
        <w:spacing w:lineRule="auto" w:line="360" w:before="123" w:after="0"/>
        <w:jc w:val="center"/>
        <w:rPr>
          <w:rFonts w:ascii="Arial" w:hAnsi="Arial" w:eastAsia="Arial" w:cs="Arial"/>
          <w:b/>
          <w:bCs/>
        </w:rPr>
      </w:pPr>
      <w:r>
        <w:rPr>
          <w:rFonts w:eastAsia="Arial" w:cs="Arial" w:ascii="Arial" w:hAnsi="Arial"/>
          <w:b/>
          <w:bCs/>
        </w:rPr>
        <w:t>ANEXO III</w:t>
      </w:r>
    </w:p>
    <w:p>
      <w:pPr>
        <w:pStyle w:val="normal1"/>
        <w:numPr>
          <w:ilvl w:val="0"/>
          <w:numId w:val="33"/>
        </w:numPr>
        <w:tabs>
          <w:tab w:val="clear" w:pos="720"/>
          <w:tab w:val="left" w:pos="494" w:leader="none"/>
        </w:tabs>
        <w:spacing w:lineRule="auto" w:line="360" w:before="123" w:after="0"/>
        <w:ind w:firstLine="567" w:start="283" w:end="565"/>
        <w:jc w:val="both"/>
        <w:rPr>
          <w:rFonts w:ascii="Arial" w:hAnsi="Arial" w:eastAsia="Arial" w:cs="Arial"/>
        </w:rPr>
      </w:pPr>
      <w:r>
        <w:rPr>
          <w:rFonts w:eastAsia="Arial" w:cs="Arial" w:ascii="Arial" w:hAnsi="Arial"/>
        </w:rPr>
        <w:t>Planilha Orçamentária Demonstração de BDI;</w:t>
      </w:r>
    </w:p>
    <w:p>
      <w:pPr>
        <w:pStyle w:val="normal1"/>
        <w:numPr>
          <w:ilvl w:val="0"/>
          <w:numId w:val="16"/>
        </w:numPr>
        <w:tabs>
          <w:tab w:val="clear" w:pos="720"/>
          <w:tab w:val="left" w:pos="478" w:leader="none"/>
        </w:tabs>
        <w:spacing w:lineRule="auto" w:line="360" w:before="123" w:after="0"/>
        <w:ind w:hanging="283" w:start="1134" w:end="565"/>
        <w:jc w:val="both"/>
        <w:rPr/>
      </w:pPr>
      <w:r>
        <w:rPr>
          <w:rFonts w:eastAsia="Arial" w:cs="Arial" w:ascii="Arial" w:hAnsi="Arial"/>
        </w:rPr>
        <w:t xml:space="preserve">     </w:t>
      </w:r>
      <w:r>
        <w:rPr>
          <w:rFonts w:eastAsia="Arial" w:cs="Arial" w:ascii="Arial" w:hAnsi="Arial"/>
        </w:rPr>
        <w:t>Cronograma Físico-Financeiro;</w:t>
      </w:r>
    </w:p>
    <w:p>
      <w:pPr>
        <w:pStyle w:val="normal1"/>
        <w:tabs>
          <w:tab w:val="clear" w:pos="720"/>
          <w:tab w:val="left" w:pos="478" w:leader="none"/>
        </w:tabs>
        <w:spacing w:lineRule="auto" w:line="360" w:before="123" w:after="0"/>
        <w:ind w:hanging="0" w:start="0" w:end="565"/>
        <w:jc w:val="both"/>
        <w:rPr/>
      </w:pPr>
      <w:r>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tabs>
          <w:tab w:val="clear" w:pos="720"/>
          <w:tab w:val="left" w:pos="478" w:leader="none"/>
        </w:tabs>
        <w:spacing w:lineRule="auto" w:line="360" w:before="240" w:after="0"/>
        <w:jc w:val="center"/>
        <w:rPr>
          <w:rFonts w:ascii="Arial" w:hAnsi="Arial" w:eastAsia="Arial" w:cs="Arial"/>
        </w:rPr>
      </w:pPr>
      <w:r>
        <w:rPr>
          <w:rFonts w:eastAsia="Arial" w:cs="Arial" w:ascii="Arial" w:hAnsi="Arial"/>
        </w:rPr>
        <w:t>JUSTIFICATIVA PARA EXIGÊNCIA DE QUALIFICAÇÃO ECONÔMICO-FINANCEIRA (CONCORRÊNCIA – OBRA E SERVIÇOS DE ENGENHARIA)</w:t>
      </w:r>
    </w:p>
    <w:p>
      <w:pPr>
        <w:pStyle w:val="normal1"/>
        <w:tabs>
          <w:tab w:val="clear" w:pos="720"/>
          <w:tab w:val="left" w:pos="478" w:leader="none"/>
        </w:tabs>
        <w:spacing w:lineRule="auto" w:line="360" w:before="240" w:after="0"/>
        <w:jc w:val="both"/>
        <w:rPr>
          <w:rFonts w:ascii="Arial" w:hAnsi="Arial" w:eastAsia="Arial" w:cs="Arial"/>
        </w:rPr>
      </w:pPr>
      <w:r>
        <w:rPr>
          <w:rFonts w:eastAsia="Arial" w:cs="Arial" w:ascii="Arial" w:hAnsi="Arial"/>
        </w:rPr>
        <w:br/>
      </w:r>
    </w:p>
    <w:p>
      <w:pPr>
        <w:pStyle w:val="normal1"/>
        <w:tabs>
          <w:tab w:val="clear" w:pos="720"/>
          <w:tab w:val="left" w:pos="478" w:leader="none"/>
        </w:tabs>
        <w:spacing w:lineRule="auto" w:line="360" w:before="240" w:after="0"/>
        <w:jc w:val="both"/>
        <w:rPr>
          <w:rFonts w:ascii="Arial" w:hAnsi="Arial" w:eastAsia="Arial" w:cs="Arial"/>
        </w:rPr>
      </w:pPr>
      <w:r>
        <w:rPr>
          <w:rFonts w:eastAsia="Arial" w:cs="Arial" w:ascii="Arial" w:hAnsi="Arial"/>
        </w:rPr>
        <w:tab/>
        <w:t>Considerando que o objeto a ser contratado envolve obra e serviços de engenharia, com execução por etapas, mobilização de recursos, aquisição de insumos e eventual necessidade de suportar custos iniciais relevantes até as primeiras medições e pagamentos, a Administração deve mitigar o risco de descontinuidade, paralisações, inadimplementos trabalhistas/fornecedores e abandono contratual, assegurando que a futura contratada possua capacidade econômico-financeira efetiva para cumprir as obrigações do contrato.</w:t>
      </w:r>
    </w:p>
    <w:p>
      <w:pPr>
        <w:pStyle w:val="normal1"/>
        <w:tabs>
          <w:tab w:val="clear" w:pos="720"/>
          <w:tab w:val="left" w:pos="478" w:leader="none"/>
        </w:tabs>
        <w:spacing w:lineRule="auto" w:line="360" w:before="240" w:after="0"/>
        <w:jc w:val="both"/>
        <w:rPr>
          <w:rFonts w:ascii="Arial" w:hAnsi="Arial" w:eastAsia="Arial" w:cs="Arial"/>
        </w:rPr>
      </w:pPr>
      <w:r>
        <w:rPr>
          <w:rFonts w:eastAsia="Arial" w:cs="Arial" w:ascii="Arial" w:hAnsi="Arial"/>
        </w:rPr>
        <w:tab/>
        <w:t>A Lei nº 14.133/2021 estabelece que a habilitação econômico-financeira visa demonstrar a aptidão do licitante para cumprir as obrigações do futuro contrato e deve ser comprovada de forma objetiva, por coeficientes e índices previstos no edital, devidamente justificados no processo licitatório. Nessa mesma linha, a lei restringe a documentação a ser exigida, incluindo expressamente: (i) balanço patrimonial, DRE e demais demonstrações contábeis dos 2 (dois) últimos exercícios sociais e (ii) certidão negativa de feitos sobre falência.</w:t>
      </w:r>
    </w:p>
    <w:p>
      <w:pPr>
        <w:pStyle w:val="normal1"/>
        <w:tabs>
          <w:tab w:val="clear" w:pos="720"/>
          <w:tab w:val="left" w:pos="478" w:leader="none"/>
        </w:tabs>
        <w:spacing w:lineRule="auto" w:line="360" w:before="240" w:after="0"/>
        <w:jc w:val="both"/>
        <w:rPr>
          <w:rFonts w:ascii="Arial" w:hAnsi="Arial" w:eastAsia="Arial" w:cs="Arial"/>
        </w:rPr>
      </w:pPr>
      <w:r>
        <w:rPr>
          <w:rFonts w:eastAsia="Arial" w:cs="Arial" w:ascii="Arial" w:hAnsi="Arial"/>
        </w:rPr>
        <w:tab/>
        <w:t>Diante disso, justifica-se a previsão editalícia de apresentação dos balanços patrimoniais (e demais demonstrações contábeis) dos dois últimos exercícios sociais, por se tratar de exigência legalmente prevista e essencial para permitir avaliação consistente da saúde financeira do licitante, especialmente em contratos de engenharia, nos quais a capacidade de manter fluxo de caixa e honrar obrigações durante a execução é fator crítico para a entrega do objeto no prazo e com qualidade.</w:t>
      </w:r>
    </w:p>
    <w:p>
      <w:pPr>
        <w:pStyle w:val="normal1"/>
        <w:tabs>
          <w:tab w:val="clear" w:pos="720"/>
          <w:tab w:val="left" w:pos="478" w:leader="none"/>
        </w:tabs>
        <w:spacing w:lineRule="auto" w:line="360" w:before="240" w:after="0"/>
        <w:jc w:val="both"/>
        <w:rPr>
          <w:rFonts w:ascii="Arial" w:hAnsi="Arial" w:eastAsia="Arial" w:cs="Arial"/>
        </w:rPr>
      </w:pPr>
      <w:r>
        <w:rPr>
          <w:rFonts w:eastAsia="Arial" w:cs="Arial" w:ascii="Arial" w:hAnsi="Arial"/>
        </w:rPr>
        <w:tab/>
        <w:t>Além da apresentação dos balanços, a Lei 14.133/2021 admite que a comprovação se dê por índices econômicos usuais, vedando índices/valores não usualmente adotados e proibindo exigências de rentabilidade/lucratividade ou faturamento mínimo. Assim, a Administração elegeu os índices LG (Liquidez Geral), LC (Liquidez Corrente) e SG (Solvência Geral), por serem métricas amplamente aceitas para aferir, de forma objetiva, a capacidade de pagamento no curto prazo (LC), o equilíbrio financeiro em horizonte mais amplo (LG) e a solvência patrimonial (SG). O próprio TCU registra que, “normalmente”, tais índices são utilizados e que devem ser definidos e justificados na fase preparatória, conforme disponível em Manual de Orientações e Jurisprudências (Vide https://licitacoesecontratos.tcu.gov.br/5-5-4-habilitacao-economico-financeira/#_ftn7)</w:t>
      </w:r>
    </w:p>
    <w:p>
      <w:pPr>
        <w:pStyle w:val="normal1"/>
        <w:tabs>
          <w:tab w:val="clear" w:pos="720"/>
          <w:tab w:val="left" w:pos="478" w:leader="none"/>
        </w:tabs>
        <w:spacing w:lineRule="auto" w:line="360" w:before="240" w:after="0"/>
        <w:jc w:val="both"/>
        <w:rPr>
          <w:rFonts w:ascii="Arial" w:hAnsi="Arial" w:eastAsia="Arial" w:cs="Arial"/>
        </w:rPr>
      </w:pPr>
      <w:r>
        <w:rPr>
          <w:rFonts w:eastAsia="Arial" w:cs="Arial" w:ascii="Arial" w:hAnsi="Arial"/>
        </w:rPr>
        <w:tab/>
        <w:t>Quanto ao critério de desempenho mínimo, fixa-se como requisito de habilitação econômico-financeira que LG, LC e SG sejam iguais ou maiores que 1 (um), por representar parâmetro prudencial e não excessivo, compatível com a finalidade legal de demonstrar aptidão para cumprimento das obrigações contratuais, sem impor barreiras desproporcionais à competitividade. Esse patamar indica, em termos gerais, equilíbrio entre ativos e passivos (liquidez/solvência mínima), reduzindo o risco de contratação de empresa sem capacidade de sustentar financeiramente a execução.</w:t>
      </w:r>
    </w:p>
    <w:p>
      <w:pPr>
        <w:pStyle w:val="normal1"/>
        <w:tabs>
          <w:tab w:val="clear" w:pos="720"/>
          <w:tab w:val="left" w:pos="478" w:leader="none"/>
        </w:tabs>
        <w:spacing w:lineRule="auto" w:line="360" w:before="240" w:after="0"/>
        <w:jc w:val="both"/>
        <w:rPr>
          <w:rFonts w:ascii="Arial" w:hAnsi="Arial" w:eastAsia="Arial" w:cs="Arial"/>
        </w:rPr>
      </w:pPr>
      <w:sdt>
        <w:sdtPr>
          <w:tag w:val="goog_rdk_3"/>
          <w:id w:val="261213778"/>
        </w:sdtPr>
        <w:sdtContent>
          <w:r>
            <w:rPr>
              <w:rFonts w:eastAsia="Arial Unicode MS" w:cs="Arial Unicode MS" w:ascii="Arial Unicode MS" w:hAnsi="Arial Unicode MS"/>
            </w:rPr>
          </w:r>
          <w:r>
            <w:rPr>
              <w:rFonts w:eastAsia="Arial Unicode MS" w:cs="Arial Unicode MS" w:ascii="Arial Unicode MS" w:hAnsi="Arial Unicode MS"/>
            </w:rPr>
            <w:tab/>
            <w:t xml:space="preserve">Dessa forma, a exigência de dois balanços patrimoniais (dois últimos exercícios) e de LG, LC e SG ≥ 1 mostra-se legal, pertinente, proporcional e tecnicamente justificada, atendendo ao art. 69 da Lei 14.133/2021, à necessidade de proteção do interesse público e à boa gestão de riscos em contratação de obra e serviços de engenharia. </w:t>
          </w:r>
        </w:sdtContent>
      </w:sdt>
    </w:p>
    <w:p>
      <w:pPr>
        <w:pStyle w:val="normal1"/>
        <w:keepNext w:val="false"/>
        <w:keepLines w:val="false"/>
        <w:pageBreakBefore w:val="false"/>
        <w:widowControl w:val="false"/>
        <w:shd w:val="clear" w:fill="auto"/>
        <w:tabs>
          <w:tab w:val="clear" w:pos="720"/>
          <w:tab w:val="left" w:pos="478" w:leader="none"/>
        </w:tabs>
        <w:spacing w:lineRule="auto" w:line="360" w:before="123" w:after="0"/>
        <w:ind w:hanging="0" w:start="0" w:end="0"/>
        <w:jc w:val="both"/>
        <w:rPr>
          <w:rFonts w:ascii="Arial" w:hAnsi="Arial" w:eastAsia="Arial" w:cs="Arial"/>
        </w:rPr>
      </w:pPr>
      <w:r>
        <w:rPr>
          <w:rFonts w:eastAsia="Arial" w:cs="Arial" w:ascii="Arial" w:hAnsi="Arial"/>
        </w:rPr>
      </w:r>
    </w:p>
    <w:p>
      <w:pPr>
        <w:pStyle w:val="normal1"/>
        <w:tabs>
          <w:tab w:val="clear" w:pos="720"/>
          <w:tab w:val="left" w:pos="3630" w:leader="none"/>
        </w:tabs>
        <w:jc w:val="start"/>
        <w:rPr>
          <w:rFonts w:ascii="Arial" w:hAnsi="Arial" w:eastAsia="Arial" w:cs="Arial"/>
          <w:sz w:val="20"/>
          <w:szCs w:val="20"/>
        </w:rPr>
      </w:pPr>
      <w:r>
        <w:rPr>
          <w:rFonts w:eastAsia="Arial" w:cs="Arial" w:ascii="Arial" w:hAnsi="Arial"/>
          <w:sz w:val="20"/>
          <w:szCs w:val="20"/>
        </w:rPr>
      </w:r>
    </w:p>
    <w:sectPr>
      <w:headerReference w:type="even" r:id="rId47"/>
      <w:headerReference w:type="default" r:id="rId48"/>
      <w:headerReference w:type="first" r:id="rId49"/>
      <w:footerReference w:type="even" r:id="rId50"/>
      <w:footerReference w:type="default" r:id="rId51"/>
      <w:footerReference w:type="first" r:id="rId52"/>
      <w:type w:val="nextPage"/>
      <w:pgSz w:w="11906" w:h="16838"/>
      <w:pgMar w:left="580" w:right="560" w:gutter="0" w:header="0" w:top="820" w:footer="0" w:bottom="57"/>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Liberation Sans">
    <w:altName w:val="Arial"/>
    <w:charset w:val="00" w:characterSet="windows-1252"/>
    <w:family w:val="swiss"/>
    <w:pitch w:val="variable"/>
  </w:font>
  <w:font w:name="Georgia">
    <w:charset w:val="00" w:characterSet="windows-1252"/>
    <w:family w:val="roman"/>
    <w:pitch w:val="variable"/>
    <w:embedRegular r:id="rId1" w:fontKey="{01014A78-CABC-4EF0-12AC-5CD89AEFDE01}"/>
    <w:embedBold r:id="rId2" w:fontKey="{02014A78-CABC-4EF0-12AC-5CD89AEFDE02}"/>
    <w:embedItalic r:id="rId3" w:fontKey="{03014A78-CABC-4EF0-12AC-5CD89AEFDE03}"/>
    <w:embedBoldItalic r:id="rId4" w:fontKey="{04014A78-CABC-4EF0-12AC-5CD89AEFDE04}"/>
  </w:font>
  <w:font w:name="Calibri">
    <w:charset w:val="00" w:characterSet="windows-1252"/>
    <w:family w:val="roman"/>
    <w:pitch w:val="variable"/>
  </w:font>
  <w:font w:name="Arial Unicode MS">
    <w:charset w:val="00" w:characterSet="windows-1252"/>
    <w:family w:val="roman"/>
    <w:pitch w:val="variable"/>
  </w:font>
  <w:font w:name="Wingdings">
    <w:charset w:val="02"/>
    <w:family w:val="auto"/>
    <w:pitch w:val="variable"/>
    <w:embedRegular r:id="rId5" w:fontKey="{05014A78-CABC-4EF0-12AC-5CD89AEFDE05}"/>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bCs/>
        <w:i/>
        <w:iCs/>
        <w:caps w:val="false"/>
        <w:smallCaps w:val="false"/>
        <w:strike w:val="false"/>
        <w:dstrike w:val="false"/>
        <w:color w:val="000000"/>
        <w:position w:val="0"/>
        <w:sz w:val="20"/>
        <w:szCs w:val="20"/>
        <w:u w:val="none"/>
        <w:shd w:fill="auto" w:val="clear"/>
        <w:vertAlign w:val="baseline"/>
      </w:rPr>
    </w:pPr>
    <w:r>
      <w:rPr>
        <w:rFonts w:eastAsia="Times New Roman" w:cs="Times New Roman"/>
        <w:b/>
        <w:bCs/>
        <w:i/>
        <w:iCs/>
        <w:caps w:val="false"/>
        <w:smallCaps w:val="false"/>
        <w:strike w:val="false"/>
        <w:dstrike w:val="false"/>
        <w:color w:val="000000"/>
        <w:position w:val="0"/>
        <w:sz w:val="20"/>
        <w:szCs w:val="20"/>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spacing w:lineRule="auto" w:line="14"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
        <w:szCs w:val="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
        <w:szCs w:val="2"/>
        <w:u w:val="none"/>
        <w:shd w:fill="auto" w:val="clear"/>
        <w:vertAlign w:val="baseli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bCs/>
        <w:i/>
        <w:iCs/>
        <w:caps w:val="false"/>
        <w:smallCaps w:val="false"/>
        <w:strike w:val="false"/>
        <w:dstrike w:val="false"/>
        <w:color w:val="000000"/>
        <w:position w:val="0"/>
        <w:sz w:val="20"/>
        <w:szCs w:val="20"/>
        <w:u w:val="none"/>
        <w:shd w:fill="auto" w:val="clear"/>
        <w:vertAlign w:val="baseline"/>
      </w:rPr>
    </w:pPr>
    <w:r>
      <w:rPr>
        <w:rFonts w:eastAsia="Times New Roman" w:cs="Times New Roman"/>
        <w:b/>
        <w:bCs/>
        <w:i/>
        <w:iCs/>
        <w:caps w:val="false"/>
        <w:smallCaps w:val="false"/>
        <w:strike w:val="false"/>
        <w:dstrike w:val="false"/>
        <w:color w:val="000000"/>
        <w:position w:val="0"/>
        <w:sz w:val="20"/>
        <w:szCs w:val="20"/>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spacing w:lineRule="auto" w:line="14"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
        <w:szCs w:val="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
        <w:szCs w:val="2"/>
        <w:u w:val="none"/>
        <w:shd w:fill="auto" w:val="clear"/>
        <w:vertAlign w:val="baseline"/>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FF0000"/>
        <w:position w:val="0"/>
        <w:sz w:val="22"/>
        <w:szCs w:val="22"/>
        <w:u w:val="none"/>
        <w:shd w:fill="auto" w:val="clear"/>
        <w:vertAlign w:val="baseline"/>
      </w:rPr>
    </w:pPr>
    <w:r>
      <w:rPr/>
      <w:drawing>
        <wp:inline distT="0" distB="0" distL="0" distR="0">
          <wp:extent cx="2456815" cy="683895"/>
          <wp:effectExtent l="0" t="0" r="0" b="0"/>
          <wp:docPr id="5" name="image3.png"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descr="Uma imagem contendo Texto&#10;&#10;Descrição gerada automaticamente"/>
                  <pic:cNvPicPr>
                    <a:picLocks noChangeAspect="1" noChangeArrowheads="1"/>
                  </pic:cNvPicPr>
                </pic:nvPicPr>
                <pic:blipFill>
                  <a:blip r:embed="rId1"/>
                  <a:stretch>
                    <a:fillRect/>
                  </a:stretch>
                </pic:blipFill>
                <pic:spPr bwMode="auto">
                  <a:xfrm>
                    <a:off x="0" y="0"/>
                    <a:ext cx="2456815" cy="68389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pPr>
    <w:r>
      <w:rPr>
        <w:rFonts w:eastAsia="Times New Roman" w:cs="Times New Roman"/>
        <w:b w:val="false"/>
        <w:bCs w:val="false"/>
        <w:i w:val="false"/>
        <w:iCs w:val="false"/>
        <w:caps w:val="false"/>
        <w:smallCaps w:val="false"/>
        <w:strike w:val="false"/>
        <w:dstrike w:val="false"/>
        <w:color w:val="000000"/>
        <w:position w:val="0"/>
        <w:sz w:val="22"/>
        <w:szCs w:val="22"/>
        <w:u w:val="none"/>
        <w:shd w:fill="auto" w:val="clear"/>
        <w:vertAlign w:val="baseline"/>
      </w:rPr>
    </w:r>
  </w:p>
  <w:p>
    <w:pPr>
      <w:pStyle w:val="normal1"/>
      <w:keepNext w:val="false"/>
      <w:keepLines w:val="false"/>
      <w:widowControl w:val="false"/>
      <w:shd w:val="clear" w:fill="auto"/>
      <w:tabs>
        <w:tab w:val="clear" w:pos="720"/>
        <w:tab w:val="center" w:pos="4252" w:leader="none"/>
        <w:tab w:val="right" w:pos="8504" w:leader="none"/>
      </w:tabs>
      <w:spacing w:lineRule="auto" w:line="240" w:before="0" w:after="0"/>
      <w:ind w:hanging="0" w:start="0" w:end="0"/>
      <w:jc w:val="start"/>
      <w:rPr>
        <w:rFonts w:ascii="Times New Roman" w:hAnsi="Times New Roman" w:eastAsia="Times New Roman" w:cs="Times New Roman"/>
        <w:b w:val="false"/>
        <w:bCs w:val="false"/>
        <w:i w:val="false"/>
        <w:iCs w:val="false"/>
        <w:caps w:val="false"/>
        <w:smallCaps w:val="false"/>
        <w:strike w:val="false"/>
        <w:dstrike w:val="false"/>
        <w:color w:val="FF0000"/>
        <w:position w:val="0"/>
        <w:sz w:val="22"/>
        <w:szCs w:val="22"/>
        <w:u w:val="none"/>
        <w:shd w:fill="auto" w:val="clear"/>
        <w:vertAlign w:val="baseline"/>
      </w:rPr>
    </w:pPr>
    <w:r>
      <w:rPr/>
      <w:drawing>
        <wp:inline distT="0" distB="0" distL="0" distR="0">
          <wp:extent cx="2456815" cy="683895"/>
          <wp:effectExtent l="0" t="0" r="0" b="0"/>
          <wp:docPr id="6" name="image3.png"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descr="Uma imagem contendo Texto&#10;&#10;Descrição gerada automaticamente"/>
                  <pic:cNvPicPr>
                    <a:picLocks noChangeAspect="1" noChangeArrowheads="1"/>
                  </pic:cNvPicPr>
                </pic:nvPicPr>
                <pic:blipFill>
                  <a:blip r:embed="rId1"/>
                  <a:stretch>
                    <a:fillRect/>
                  </a:stretch>
                </pic:blipFill>
                <pic:spPr bwMode="auto">
                  <a:xfrm>
                    <a:off x="0" y="0"/>
                    <a:ext cx="2456815" cy="68389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end"/>
      <w:pPr>
        <w:tabs>
          <w:tab w:val="num" w:pos="0"/>
        </w:tabs>
        <w:ind w:start="720" w:hanging="360"/>
      </w:pPr>
      <w:rPr>
        <w:u w:val="none"/>
      </w:rPr>
    </w:lvl>
    <w:lvl w:ilvl="1">
      <w:start w:val="1"/>
      <w:numFmt w:val="decimal"/>
      <w:lvlText w:val="%1.%2."/>
      <w:lvlJc w:val="end"/>
      <w:pPr>
        <w:tabs>
          <w:tab w:val="num" w:pos="0"/>
        </w:tabs>
        <w:ind w:start="1440" w:hanging="360"/>
      </w:pPr>
      <w:rPr>
        <w:u w:val="none"/>
      </w:rPr>
    </w:lvl>
    <w:lvl w:ilvl="2">
      <w:start w:val="1"/>
      <w:numFmt w:val="decimal"/>
      <w:lvlText w:val="%1.%2.%3."/>
      <w:lvlJc w:val="end"/>
      <w:pPr>
        <w:tabs>
          <w:tab w:val="num" w:pos="0"/>
        </w:tabs>
        <w:ind w:start="2160" w:hanging="360"/>
      </w:pPr>
      <w:rPr>
        <w:u w:val="none"/>
      </w:rPr>
    </w:lvl>
    <w:lvl w:ilvl="3">
      <w:start w:val="1"/>
      <w:numFmt w:val="decimal"/>
      <w:lvlText w:val="%1.%2.%3.%4."/>
      <w:lvlJc w:val="end"/>
      <w:pPr>
        <w:tabs>
          <w:tab w:val="num" w:pos="0"/>
        </w:tabs>
        <w:ind w:start="2880" w:hanging="360"/>
      </w:pPr>
      <w:rPr>
        <w:u w:val="none"/>
      </w:rPr>
    </w:lvl>
    <w:lvl w:ilvl="4">
      <w:start w:val="1"/>
      <w:numFmt w:val="decimal"/>
      <w:lvlText w:val="%1.%2.%3.%4.%5."/>
      <w:lvlJc w:val="end"/>
      <w:pPr>
        <w:tabs>
          <w:tab w:val="num" w:pos="0"/>
        </w:tabs>
        <w:ind w:start="3600" w:hanging="360"/>
      </w:pPr>
      <w:rPr>
        <w:u w:val="none"/>
      </w:rPr>
    </w:lvl>
    <w:lvl w:ilvl="5">
      <w:start w:val="1"/>
      <w:numFmt w:val="decimal"/>
      <w:lvlText w:val="%1.%2.%3.%4.%5.%6."/>
      <w:lvlJc w:val="end"/>
      <w:pPr>
        <w:tabs>
          <w:tab w:val="num" w:pos="0"/>
        </w:tabs>
        <w:ind w:start="4320" w:hanging="360"/>
      </w:pPr>
      <w:rPr>
        <w:u w:val="none"/>
      </w:rPr>
    </w:lvl>
    <w:lvl w:ilvl="6">
      <w:start w:val="1"/>
      <w:numFmt w:val="decimal"/>
      <w:lvlText w:val="%1.%2.%3.%4.%5.%6.%7."/>
      <w:lvlJc w:val="end"/>
      <w:pPr>
        <w:tabs>
          <w:tab w:val="num" w:pos="0"/>
        </w:tabs>
        <w:ind w:start="5040" w:hanging="360"/>
      </w:pPr>
      <w:rPr>
        <w:u w:val="none"/>
      </w:rPr>
    </w:lvl>
    <w:lvl w:ilvl="7">
      <w:start w:val="1"/>
      <w:numFmt w:val="decimal"/>
      <w:lvlText w:val="%1.%2.%3.%4.%5.%6.%7.%8."/>
      <w:lvlJc w:val="end"/>
      <w:pPr>
        <w:tabs>
          <w:tab w:val="num" w:pos="0"/>
        </w:tabs>
        <w:ind w:start="5760" w:hanging="360"/>
      </w:pPr>
      <w:rPr>
        <w:u w:val="none"/>
      </w:rPr>
    </w:lvl>
    <w:lvl w:ilvl="8">
      <w:start w:val="1"/>
      <w:numFmt w:val="decimal"/>
      <w:lvlText w:val="%1.%2.%3.%4.%5.%6.%7.%8.%9."/>
      <w:lvlJc w:val="end"/>
      <w:pPr>
        <w:tabs>
          <w:tab w:val="num" w:pos="0"/>
        </w:tabs>
        <w:ind w:start="6480" w:hanging="360"/>
      </w:pPr>
      <w:rPr>
        <w:u w:val="none"/>
      </w:rPr>
    </w:lvl>
  </w:abstractNum>
  <w:abstractNum w:abstractNumId="2">
    <w:lvl w:ilvl="0">
      <w:start w:val="1"/>
      <w:numFmt w:val="bullet"/>
      <w:lvlText w:val=""/>
      <w:lvlJc w:val="start"/>
      <w:pPr>
        <w:tabs>
          <w:tab w:val="num" w:pos="0"/>
        </w:tabs>
        <w:ind w:start="720" w:hanging="360"/>
      </w:pPr>
      <w:rPr>
        <w:rFonts w:ascii="Wingdings" w:hAnsi="Wingdings" w:cs="Wingdings" w:hint="default"/>
        <w:u w:val="none"/>
      </w:rPr>
    </w:lvl>
    <w:lvl w:ilvl="1">
      <w:start w:val="1"/>
      <w:numFmt w:val="bullet"/>
      <w:lvlText w:val="◦"/>
      <w:lvlJc w:val="start"/>
      <w:pPr>
        <w:tabs>
          <w:tab w:val="num" w:pos="0"/>
        </w:tabs>
        <w:ind w:start="1080" w:hanging="360"/>
      </w:pPr>
      <w:rPr>
        <w:rFonts w:ascii="OpenSymbol" w:hAnsi="OpenSymbol" w:cs="OpenSymbol" w:hint="default"/>
        <w:u w:val="none"/>
      </w:rPr>
    </w:lvl>
    <w:lvl w:ilvl="2">
      <w:start w:val="1"/>
      <w:numFmt w:val="bullet"/>
      <w:lvlText w:val="▪"/>
      <w:lvlJc w:val="start"/>
      <w:pPr>
        <w:tabs>
          <w:tab w:val="num" w:pos="0"/>
        </w:tabs>
        <w:ind w:start="1440" w:hanging="360"/>
      </w:pPr>
      <w:rPr>
        <w:rFonts w:ascii="OpenSymbol" w:hAnsi="OpenSymbol" w:cs="OpenSymbol" w:hint="default"/>
        <w:u w:val="none"/>
      </w:rPr>
    </w:lvl>
    <w:lvl w:ilvl="3">
      <w:start w:val="1"/>
      <w:numFmt w:val="bullet"/>
      <w:lvlText w:val=""/>
      <w:lvlJc w:val="start"/>
      <w:pPr>
        <w:tabs>
          <w:tab w:val="num" w:pos="0"/>
        </w:tabs>
        <w:ind w:start="1800" w:hanging="360"/>
      </w:pPr>
      <w:rPr>
        <w:rFonts w:ascii="Wingdings" w:hAnsi="Wingdings" w:cs="Wingdings" w:hint="default"/>
        <w:u w:val="none"/>
      </w:rPr>
    </w:lvl>
    <w:lvl w:ilvl="4">
      <w:start w:val="1"/>
      <w:numFmt w:val="bullet"/>
      <w:lvlText w:val="◦"/>
      <w:lvlJc w:val="start"/>
      <w:pPr>
        <w:tabs>
          <w:tab w:val="num" w:pos="0"/>
        </w:tabs>
        <w:ind w:start="2160" w:hanging="360"/>
      </w:pPr>
      <w:rPr>
        <w:rFonts w:ascii="OpenSymbol" w:hAnsi="OpenSymbol" w:cs="OpenSymbol" w:hint="default"/>
        <w:u w:val="none"/>
      </w:rPr>
    </w:lvl>
    <w:lvl w:ilvl="5">
      <w:start w:val="1"/>
      <w:numFmt w:val="bullet"/>
      <w:lvlText w:val="▪"/>
      <w:lvlJc w:val="start"/>
      <w:pPr>
        <w:tabs>
          <w:tab w:val="num" w:pos="0"/>
        </w:tabs>
        <w:ind w:start="2520" w:hanging="360"/>
      </w:pPr>
      <w:rPr>
        <w:rFonts w:ascii="OpenSymbol" w:hAnsi="OpenSymbol" w:cs="OpenSymbol" w:hint="default"/>
        <w:u w:val="none"/>
      </w:rPr>
    </w:lvl>
    <w:lvl w:ilvl="6">
      <w:start w:val="1"/>
      <w:numFmt w:val="bullet"/>
      <w:lvlText w:val=""/>
      <w:lvlJc w:val="start"/>
      <w:pPr>
        <w:tabs>
          <w:tab w:val="num" w:pos="0"/>
        </w:tabs>
        <w:ind w:start="2880" w:hanging="360"/>
      </w:pPr>
      <w:rPr>
        <w:rFonts w:ascii="Wingdings" w:hAnsi="Wingdings" w:cs="Wingdings" w:hint="default"/>
        <w:u w:val="none"/>
      </w:rPr>
    </w:lvl>
    <w:lvl w:ilvl="7">
      <w:start w:val="1"/>
      <w:numFmt w:val="bullet"/>
      <w:lvlText w:val="◦"/>
      <w:lvlJc w:val="start"/>
      <w:pPr>
        <w:tabs>
          <w:tab w:val="num" w:pos="0"/>
        </w:tabs>
        <w:ind w:start="3240" w:hanging="360"/>
      </w:pPr>
      <w:rPr>
        <w:rFonts w:ascii="OpenSymbol" w:hAnsi="OpenSymbol" w:cs="OpenSymbol" w:hint="default"/>
        <w:u w:val="none"/>
      </w:rPr>
    </w:lvl>
    <w:lvl w:ilvl="8">
      <w:start w:val="1"/>
      <w:numFmt w:val="bullet"/>
      <w:lvlText w:val="▪"/>
      <w:lvlJc w:val="start"/>
      <w:pPr>
        <w:tabs>
          <w:tab w:val="num" w:pos="0"/>
        </w:tabs>
        <w:ind w:start="3600" w:hanging="360"/>
      </w:pPr>
      <w:rPr>
        <w:rFonts w:ascii="OpenSymbol" w:hAnsi="OpenSymbol" w:cs="OpenSymbol" w:hint="default"/>
        <w:u w:val="none"/>
      </w:rPr>
    </w:lvl>
  </w:abstractNum>
  <w:abstractNum w:abstractNumId="3">
    <w:lvl w:ilvl="0">
      <w:start w:val="6"/>
      <w:numFmt w:val="lowerLetter"/>
      <w:lvlText w:val="%1)"/>
      <w:lvlJc w:val="start"/>
      <w:pPr>
        <w:tabs>
          <w:tab w:val="num" w:pos="0"/>
        </w:tabs>
        <w:ind w:start="1608"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18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18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180"/>
      </w:pPr>
      <w:rPr>
        <w:u w:val="none"/>
      </w:rPr>
    </w:lvl>
  </w:abstractNum>
  <w:abstractNum w:abstractNumId="4">
    <w:lvl w:ilvl="0">
      <w:start w:val="1"/>
      <w:numFmt w:val="bullet"/>
      <w:lvlText w:val=""/>
      <w:lvlJc w:val="start"/>
      <w:pPr>
        <w:tabs>
          <w:tab w:val="num" w:pos="0"/>
        </w:tabs>
        <w:ind w:start="1429" w:hanging="360"/>
      </w:pPr>
      <w:rPr>
        <w:rFonts w:ascii="Wingdings" w:hAnsi="Wingdings" w:cs="Wingdings" w:hint="default"/>
        <w:u w:val="none"/>
      </w:rPr>
    </w:lvl>
    <w:lvl w:ilvl="1">
      <w:start w:val="1"/>
      <w:numFmt w:val="bullet"/>
      <w:lvlText w:val="o"/>
      <w:lvlJc w:val="start"/>
      <w:pPr>
        <w:tabs>
          <w:tab w:val="num" w:pos="0"/>
        </w:tabs>
        <w:ind w:start="2149" w:hanging="360"/>
      </w:pPr>
      <w:rPr>
        <w:rFonts w:ascii="OpenSymbol" w:hAnsi="OpenSymbol" w:cs="OpenSymbol" w:hint="default"/>
        <w:u w:val="none"/>
      </w:rPr>
    </w:lvl>
    <w:lvl w:ilvl="2">
      <w:start w:val="1"/>
      <w:numFmt w:val="bullet"/>
      <w:lvlText w:val="▪"/>
      <w:lvlJc w:val="start"/>
      <w:pPr>
        <w:tabs>
          <w:tab w:val="num" w:pos="0"/>
        </w:tabs>
        <w:ind w:start="2869" w:hanging="360"/>
      </w:pPr>
      <w:rPr>
        <w:rFonts w:ascii="OpenSymbol" w:hAnsi="OpenSymbol" w:cs="OpenSymbol" w:hint="default"/>
        <w:u w:val="none"/>
      </w:rPr>
    </w:lvl>
    <w:lvl w:ilvl="3">
      <w:start w:val="1"/>
      <w:numFmt w:val="bullet"/>
      <w:lvlText w:val=""/>
      <w:lvlJc w:val="start"/>
      <w:pPr>
        <w:tabs>
          <w:tab w:val="num" w:pos="0"/>
        </w:tabs>
        <w:ind w:start="3589" w:hanging="360"/>
      </w:pPr>
      <w:rPr>
        <w:rFonts w:ascii="Wingdings" w:hAnsi="Wingdings" w:cs="Wingdings" w:hint="default"/>
        <w:u w:val="none"/>
      </w:rPr>
    </w:lvl>
    <w:lvl w:ilvl="4">
      <w:start w:val="1"/>
      <w:numFmt w:val="bullet"/>
      <w:lvlText w:val="o"/>
      <w:lvlJc w:val="start"/>
      <w:pPr>
        <w:tabs>
          <w:tab w:val="num" w:pos="0"/>
        </w:tabs>
        <w:ind w:start="4309" w:hanging="360"/>
      </w:pPr>
      <w:rPr>
        <w:rFonts w:ascii="OpenSymbol" w:hAnsi="OpenSymbol" w:cs="OpenSymbol" w:hint="default"/>
        <w:u w:val="none"/>
      </w:rPr>
    </w:lvl>
    <w:lvl w:ilvl="5">
      <w:start w:val="1"/>
      <w:numFmt w:val="bullet"/>
      <w:lvlText w:val="▪"/>
      <w:lvlJc w:val="start"/>
      <w:pPr>
        <w:tabs>
          <w:tab w:val="num" w:pos="0"/>
        </w:tabs>
        <w:ind w:start="5029" w:hanging="360"/>
      </w:pPr>
      <w:rPr>
        <w:rFonts w:ascii="OpenSymbol" w:hAnsi="OpenSymbol" w:cs="OpenSymbol" w:hint="default"/>
        <w:u w:val="none"/>
      </w:rPr>
    </w:lvl>
    <w:lvl w:ilvl="6">
      <w:start w:val="1"/>
      <w:numFmt w:val="bullet"/>
      <w:lvlText w:val=""/>
      <w:lvlJc w:val="start"/>
      <w:pPr>
        <w:tabs>
          <w:tab w:val="num" w:pos="0"/>
        </w:tabs>
        <w:ind w:start="5749" w:hanging="360"/>
      </w:pPr>
      <w:rPr>
        <w:rFonts w:ascii="Wingdings" w:hAnsi="Wingdings" w:cs="Wingdings" w:hint="default"/>
        <w:u w:val="none"/>
      </w:rPr>
    </w:lvl>
    <w:lvl w:ilvl="7">
      <w:start w:val="1"/>
      <w:numFmt w:val="bullet"/>
      <w:lvlText w:val="o"/>
      <w:lvlJc w:val="start"/>
      <w:pPr>
        <w:tabs>
          <w:tab w:val="num" w:pos="0"/>
        </w:tabs>
        <w:ind w:start="6469" w:hanging="360"/>
      </w:pPr>
      <w:rPr>
        <w:rFonts w:ascii="OpenSymbol" w:hAnsi="OpenSymbol" w:cs="OpenSymbol" w:hint="default"/>
        <w:u w:val="none"/>
      </w:rPr>
    </w:lvl>
    <w:lvl w:ilvl="8">
      <w:start w:val="1"/>
      <w:numFmt w:val="bullet"/>
      <w:lvlText w:val="▪"/>
      <w:lvlJc w:val="start"/>
      <w:pPr>
        <w:tabs>
          <w:tab w:val="num" w:pos="0"/>
        </w:tabs>
        <w:ind w:start="7189" w:hanging="360"/>
      </w:pPr>
      <w:rPr>
        <w:rFonts w:ascii="OpenSymbol" w:hAnsi="OpenSymbol" w:cs="OpenSymbol" w:hint="default"/>
        <w:u w:val="none"/>
      </w:rPr>
    </w:lvl>
  </w:abstractNum>
  <w:abstractNum w:abstractNumId="5">
    <w:lvl w:ilvl="0">
      <w:start w:val="12"/>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18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18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180"/>
      </w:pPr>
      <w:rPr>
        <w:u w:val="none"/>
      </w:rPr>
    </w:lvl>
  </w:abstractNum>
  <w:abstractNum w:abstractNumId="6">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7">
    <w:lvl w:ilvl="0">
      <w:start w:val="1"/>
      <w:numFmt w:val="bullet"/>
      <w:lvlText w:val=""/>
      <w:lvlJc w:val="start"/>
      <w:pPr>
        <w:tabs>
          <w:tab w:val="num" w:pos="0"/>
        </w:tabs>
        <w:ind w:start="168" w:hanging="168"/>
      </w:pPr>
      <w:rPr>
        <w:rFonts w:ascii="Wingdings" w:hAnsi="Wingdings" w:cs="Wingdings" w:hint="default"/>
        <w:u w:val="none"/>
      </w:rPr>
    </w:lvl>
    <w:lvl w:ilvl="1">
      <w:start w:val="0"/>
      <w:numFmt w:val="bullet"/>
      <w:lvlText w:val="◦"/>
      <w:lvlJc w:val="start"/>
      <w:pPr>
        <w:tabs>
          <w:tab w:val="num" w:pos="0"/>
        </w:tabs>
        <w:ind w:start="336" w:hanging="168"/>
      </w:pPr>
      <w:rPr>
        <w:rFonts w:ascii="OpenSymbol" w:hAnsi="OpenSymbol" w:cs="OpenSymbol" w:hint="default"/>
        <w:u w:val="none"/>
      </w:rPr>
    </w:lvl>
    <w:lvl w:ilvl="2">
      <w:start w:val="0"/>
      <w:numFmt w:val="bullet"/>
      <w:lvlText w:val="▪"/>
      <w:lvlJc w:val="start"/>
      <w:pPr>
        <w:tabs>
          <w:tab w:val="num" w:pos="0"/>
        </w:tabs>
        <w:ind w:start="504" w:hanging="168"/>
      </w:pPr>
      <w:rPr>
        <w:rFonts w:ascii="OpenSymbol" w:hAnsi="OpenSymbol" w:cs="OpenSymbol" w:hint="default"/>
        <w:u w:val="none"/>
      </w:rPr>
    </w:lvl>
    <w:lvl w:ilvl="3">
      <w:start w:val="0"/>
      <w:numFmt w:val="bullet"/>
      <w:lvlText w:val=""/>
      <w:lvlJc w:val="start"/>
      <w:pPr>
        <w:tabs>
          <w:tab w:val="num" w:pos="0"/>
        </w:tabs>
        <w:ind w:start="672" w:hanging="168"/>
      </w:pPr>
      <w:rPr>
        <w:rFonts w:ascii="Wingdings" w:hAnsi="Wingdings" w:cs="Wingdings" w:hint="default"/>
        <w:u w:val="none"/>
      </w:rPr>
    </w:lvl>
    <w:lvl w:ilvl="4">
      <w:start w:val="0"/>
      <w:numFmt w:val="bullet"/>
      <w:lvlText w:val="◦"/>
      <w:lvlJc w:val="start"/>
      <w:pPr>
        <w:tabs>
          <w:tab w:val="num" w:pos="0"/>
        </w:tabs>
        <w:ind w:start="840" w:hanging="168"/>
      </w:pPr>
      <w:rPr>
        <w:rFonts w:ascii="OpenSymbol" w:hAnsi="OpenSymbol" w:cs="OpenSymbol" w:hint="default"/>
        <w:u w:val="none"/>
      </w:rPr>
    </w:lvl>
    <w:lvl w:ilvl="5">
      <w:start w:val="0"/>
      <w:numFmt w:val="bullet"/>
      <w:lvlText w:val="▪"/>
      <w:lvlJc w:val="start"/>
      <w:pPr>
        <w:tabs>
          <w:tab w:val="num" w:pos="0"/>
        </w:tabs>
        <w:ind w:start="1008" w:hanging="168"/>
      </w:pPr>
      <w:rPr>
        <w:rFonts w:ascii="OpenSymbol" w:hAnsi="OpenSymbol" w:cs="OpenSymbol" w:hint="default"/>
        <w:u w:val="none"/>
      </w:rPr>
    </w:lvl>
    <w:lvl w:ilvl="6">
      <w:start w:val="0"/>
      <w:numFmt w:val="bullet"/>
      <w:lvlText w:val=""/>
      <w:lvlJc w:val="start"/>
      <w:pPr>
        <w:tabs>
          <w:tab w:val="num" w:pos="0"/>
        </w:tabs>
        <w:ind w:start="1176" w:hanging="168"/>
      </w:pPr>
      <w:rPr>
        <w:rFonts w:ascii="Wingdings" w:hAnsi="Wingdings" w:cs="Wingdings" w:hint="default"/>
        <w:u w:val="none"/>
      </w:rPr>
    </w:lvl>
    <w:lvl w:ilvl="7">
      <w:start w:val="0"/>
      <w:numFmt w:val="bullet"/>
      <w:lvlText w:val="◦"/>
      <w:lvlJc w:val="start"/>
      <w:pPr>
        <w:tabs>
          <w:tab w:val="num" w:pos="0"/>
        </w:tabs>
        <w:ind w:start="1344" w:hanging="168"/>
      </w:pPr>
      <w:rPr>
        <w:rFonts w:ascii="OpenSymbol" w:hAnsi="OpenSymbol" w:cs="OpenSymbol" w:hint="default"/>
        <w:u w:val="none"/>
      </w:rPr>
    </w:lvl>
    <w:lvl w:ilvl="8">
      <w:start w:val="0"/>
      <w:numFmt w:val="bullet"/>
      <w:lvlText w:val="▪"/>
      <w:lvlJc w:val="start"/>
      <w:pPr>
        <w:tabs>
          <w:tab w:val="num" w:pos="0"/>
        </w:tabs>
        <w:ind w:start="1512" w:hanging="168"/>
      </w:pPr>
      <w:rPr>
        <w:rFonts w:ascii="OpenSymbol" w:hAnsi="OpenSymbol" w:cs="OpenSymbol" w:hint="default"/>
        <w:u w:val="none"/>
      </w:rPr>
    </w:lvl>
  </w:abstractNum>
  <w:abstractNum w:abstractNumId="8">
    <w:lvl w:ilvl="0">
      <w:start w:val="1"/>
      <w:numFmt w:val="bullet"/>
      <w:lvlText w:val=""/>
      <w:lvlJc w:val="start"/>
      <w:pPr>
        <w:tabs>
          <w:tab w:val="num" w:pos="0"/>
        </w:tabs>
        <w:ind w:start="720" w:hanging="360"/>
      </w:pPr>
      <w:rPr>
        <w:rFonts w:ascii="Wingdings" w:hAnsi="Wingdings" w:cs="Wingdings" w:hint="default"/>
        <w:u w:val="none"/>
      </w:rPr>
    </w:lvl>
    <w:lvl w:ilvl="1">
      <w:start w:val="1"/>
      <w:numFmt w:val="bullet"/>
      <w:lvlText w:val="◦"/>
      <w:lvlJc w:val="start"/>
      <w:pPr>
        <w:tabs>
          <w:tab w:val="num" w:pos="0"/>
        </w:tabs>
        <w:ind w:start="1080" w:hanging="360"/>
      </w:pPr>
      <w:rPr>
        <w:rFonts w:ascii="OpenSymbol" w:hAnsi="OpenSymbol" w:cs="OpenSymbol" w:hint="default"/>
        <w:u w:val="none"/>
      </w:rPr>
    </w:lvl>
    <w:lvl w:ilvl="2">
      <w:start w:val="1"/>
      <w:numFmt w:val="bullet"/>
      <w:lvlText w:val="▪"/>
      <w:lvlJc w:val="start"/>
      <w:pPr>
        <w:tabs>
          <w:tab w:val="num" w:pos="0"/>
        </w:tabs>
        <w:ind w:start="1440" w:hanging="360"/>
      </w:pPr>
      <w:rPr>
        <w:rFonts w:ascii="OpenSymbol" w:hAnsi="OpenSymbol" w:cs="OpenSymbol" w:hint="default"/>
        <w:u w:val="none"/>
      </w:rPr>
    </w:lvl>
    <w:lvl w:ilvl="3">
      <w:start w:val="1"/>
      <w:numFmt w:val="bullet"/>
      <w:lvlText w:val=""/>
      <w:lvlJc w:val="start"/>
      <w:pPr>
        <w:tabs>
          <w:tab w:val="num" w:pos="0"/>
        </w:tabs>
        <w:ind w:start="1800" w:hanging="360"/>
      </w:pPr>
      <w:rPr>
        <w:rFonts w:ascii="Wingdings" w:hAnsi="Wingdings" w:cs="Wingdings" w:hint="default"/>
        <w:u w:val="none"/>
      </w:rPr>
    </w:lvl>
    <w:lvl w:ilvl="4">
      <w:start w:val="1"/>
      <w:numFmt w:val="bullet"/>
      <w:lvlText w:val="◦"/>
      <w:lvlJc w:val="start"/>
      <w:pPr>
        <w:tabs>
          <w:tab w:val="num" w:pos="0"/>
        </w:tabs>
        <w:ind w:start="2160" w:hanging="360"/>
      </w:pPr>
      <w:rPr>
        <w:rFonts w:ascii="OpenSymbol" w:hAnsi="OpenSymbol" w:cs="OpenSymbol" w:hint="default"/>
        <w:u w:val="none"/>
      </w:rPr>
    </w:lvl>
    <w:lvl w:ilvl="5">
      <w:start w:val="1"/>
      <w:numFmt w:val="bullet"/>
      <w:lvlText w:val="▪"/>
      <w:lvlJc w:val="start"/>
      <w:pPr>
        <w:tabs>
          <w:tab w:val="num" w:pos="0"/>
        </w:tabs>
        <w:ind w:start="2520" w:hanging="360"/>
      </w:pPr>
      <w:rPr>
        <w:rFonts w:ascii="OpenSymbol" w:hAnsi="OpenSymbol" w:cs="OpenSymbol" w:hint="default"/>
        <w:u w:val="none"/>
      </w:rPr>
    </w:lvl>
    <w:lvl w:ilvl="6">
      <w:start w:val="1"/>
      <w:numFmt w:val="bullet"/>
      <w:lvlText w:val=""/>
      <w:lvlJc w:val="start"/>
      <w:pPr>
        <w:tabs>
          <w:tab w:val="num" w:pos="0"/>
        </w:tabs>
        <w:ind w:start="2880" w:hanging="360"/>
      </w:pPr>
      <w:rPr>
        <w:rFonts w:ascii="Wingdings" w:hAnsi="Wingdings" w:cs="Wingdings" w:hint="default"/>
        <w:u w:val="none"/>
      </w:rPr>
    </w:lvl>
    <w:lvl w:ilvl="7">
      <w:start w:val="1"/>
      <w:numFmt w:val="bullet"/>
      <w:lvlText w:val="◦"/>
      <w:lvlJc w:val="start"/>
      <w:pPr>
        <w:tabs>
          <w:tab w:val="num" w:pos="0"/>
        </w:tabs>
        <w:ind w:start="3240" w:hanging="360"/>
      </w:pPr>
      <w:rPr>
        <w:rFonts w:ascii="OpenSymbol" w:hAnsi="OpenSymbol" w:cs="OpenSymbol" w:hint="default"/>
        <w:u w:val="none"/>
      </w:rPr>
    </w:lvl>
    <w:lvl w:ilvl="8">
      <w:start w:val="1"/>
      <w:numFmt w:val="bullet"/>
      <w:lvlText w:val="▪"/>
      <w:lvlJc w:val="start"/>
      <w:pPr>
        <w:tabs>
          <w:tab w:val="num" w:pos="0"/>
        </w:tabs>
        <w:ind w:start="3600" w:hanging="360"/>
      </w:pPr>
      <w:rPr>
        <w:rFonts w:ascii="OpenSymbol" w:hAnsi="OpenSymbol" w:cs="OpenSymbol" w:hint="default"/>
        <w:u w:val="none"/>
      </w:rPr>
    </w:lvl>
  </w:abstractNum>
  <w:abstractNum w:abstractNumId="9">
    <w:lvl w:ilvl="0">
      <w:start w:val="1"/>
      <w:numFmt w:val="bullet"/>
      <w:lvlText w:val=""/>
      <w:lvlJc w:val="start"/>
      <w:pPr>
        <w:tabs>
          <w:tab w:val="num" w:pos="0"/>
        </w:tabs>
        <w:ind w:start="720" w:hanging="360"/>
      </w:pPr>
      <w:rPr>
        <w:rFonts w:ascii="Wingdings" w:hAnsi="Wingdings" w:cs="Wingdings" w:hint="default"/>
        <w:u w:val="none"/>
      </w:rPr>
    </w:lvl>
    <w:lvl w:ilvl="1">
      <w:start w:val="1"/>
      <w:numFmt w:val="bullet"/>
      <w:lvlText w:val="◦"/>
      <w:lvlJc w:val="start"/>
      <w:pPr>
        <w:tabs>
          <w:tab w:val="num" w:pos="0"/>
        </w:tabs>
        <w:ind w:start="1080" w:hanging="360"/>
      </w:pPr>
      <w:rPr>
        <w:rFonts w:ascii="OpenSymbol" w:hAnsi="OpenSymbol" w:cs="OpenSymbol" w:hint="default"/>
        <w:u w:val="none"/>
      </w:rPr>
    </w:lvl>
    <w:lvl w:ilvl="2">
      <w:start w:val="1"/>
      <w:numFmt w:val="bullet"/>
      <w:lvlText w:val="▪"/>
      <w:lvlJc w:val="start"/>
      <w:pPr>
        <w:tabs>
          <w:tab w:val="num" w:pos="0"/>
        </w:tabs>
        <w:ind w:start="1440" w:hanging="360"/>
      </w:pPr>
      <w:rPr>
        <w:rFonts w:ascii="OpenSymbol" w:hAnsi="OpenSymbol" w:cs="OpenSymbol" w:hint="default"/>
        <w:u w:val="none"/>
      </w:rPr>
    </w:lvl>
    <w:lvl w:ilvl="3">
      <w:start w:val="1"/>
      <w:numFmt w:val="bullet"/>
      <w:lvlText w:val=""/>
      <w:lvlJc w:val="start"/>
      <w:pPr>
        <w:tabs>
          <w:tab w:val="num" w:pos="0"/>
        </w:tabs>
        <w:ind w:start="1800" w:hanging="360"/>
      </w:pPr>
      <w:rPr>
        <w:rFonts w:ascii="Wingdings" w:hAnsi="Wingdings" w:cs="Wingdings" w:hint="default"/>
        <w:u w:val="none"/>
      </w:rPr>
    </w:lvl>
    <w:lvl w:ilvl="4">
      <w:start w:val="1"/>
      <w:numFmt w:val="bullet"/>
      <w:lvlText w:val="◦"/>
      <w:lvlJc w:val="start"/>
      <w:pPr>
        <w:tabs>
          <w:tab w:val="num" w:pos="0"/>
        </w:tabs>
        <w:ind w:start="2160" w:hanging="360"/>
      </w:pPr>
      <w:rPr>
        <w:rFonts w:ascii="OpenSymbol" w:hAnsi="OpenSymbol" w:cs="OpenSymbol" w:hint="default"/>
        <w:u w:val="none"/>
      </w:rPr>
    </w:lvl>
    <w:lvl w:ilvl="5">
      <w:start w:val="1"/>
      <w:numFmt w:val="bullet"/>
      <w:lvlText w:val="▪"/>
      <w:lvlJc w:val="start"/>
      <w:pPr>
        <w:tabs>
          <w:tab w:val="num" w:pos="0"/>
        </w:tabs>
        <w:ind w:start="2520" w:hanging="360"/>
      </w:pPr>
      <w:rPr>
        <w:rFonts w:ascii="OpenSymbol" w:hAnsi="OpenSymbol" w:cs="OpenSymbol" w:hint="default"/>
        <w:u w:val="none"/>
      </w:rPr>
    </w:lvl>
    <w:lvl w:ilvl="6">
      <w:start w:val="1"/>
      <w:numFmt w:val="bullet"/>
      <w:lvlText w:val=""/>
      <w:lvlJc w:val="start"/>
      <w:pPr>
        <w:tabs>
          <w:tab w:val="num" w:pos="0"/>
        </w:tabs>
        <w:ind w:start="2880" w:hanging="360"/>
      </w:pPr>
      <w:rPr>
        <w:rFonts w:ascii="Wingdings" w:hAnsi="Wingdings" w:cs="Wingdings" w:hint="default"/>
        <w:u w:val="none"/>
      </w:rPr>
    </w:lvl>
    <w:lvl w:ilvl="7">
      <w:start w:val="1"/>
      <w:numFmt w:val="bullet"/>
      <w:lvlText w:val="◦"/>
      <w:lvlJc w:val="start"/>
      <w:pPr>
        <w:tabs>
          <w:tab w:val="num" w:pos="0"/>
        </w:tabs>
        <w:ind w:start="3240" w:hanging="360"/>
      </w:pPr>
      <w:rPr>
        <w:rFonts w:ascii="OpenSymbol" w:hAnsi="OpenSymbol" w:cs="OpenSymbol" w:hint="default"/>
        <w:u w:val="none"/>
      </w:rPr>
    </w:lvl>
    <w:lvl w:ilvl="8">
      <w:start w:val="1"/>
      <w:numFmt w:val="bullet"/>
      <w:lvlText w:val="▪"/>
      <w:lvlJc w:val="start"/>
      <w:pPr>
        <w:tabs>
          <w:tab w:val="num" w:pos="0"/>
        </w:tabs>
        <w:ind w:start="3600" w:hanging="360"/>
      </w:pPr>
      <w:rPr>
        <w:rFonts w:ascii="OpenSymbol" w:hAnsi="OpenSymbol" w:cs="OpenSymbol" w:hint="default"/>
        <w:u w:val="none"/>
      </w:rPr>
    </w:lvl>
  </w:abstractNum>
  <w:abstractNum w:abstractNumId="10">
    <w:lvl w:ilvl="0">
      <w:start w:val="5"/>
      <w:numFmt w:val="decimal"/>
      <w:lvlText w:val="%1"/>
      <w:lvlJc w:val="start"/>
      <w:pPr>
        <w:tabs>
          <w:tab w:val="num" w:pos="0"/>
        </w:tabs>
        <w:ind w:start="525" w:hanging="525"/>
      </w:pPr>
      <w:rPr>
        <w:u w:val="none"/>
      </w:rPr>
    </w:lvl>
    <w:lvl w:ilvl="1">
      <w:start w:val="2"/>
      <w:numFmt w:val="decimal"/>
      <w:lvlText w:val="%1.%2"/>
      <w:lvlJc w:val="start"/>
      <w:pPr>
        <w:tabs>
          <w:tab w:val="num" w:pos="0"/>
        </w:tabs>
        <w:ind w:start="808" w:hanging="525"/>
      </w:pPr>
      <w:rPr>
        <w:u w:val="none"/>
      </w:rPr>
    </w:lvl>
    <w:lvl w:ilvl="2">
      <w:start w:val="3"/>
      <w:numFmt w:val="decimal"/>
      <w:lvlText w:val="%1.%2.%3"/>
      <w:lvlJc w:val="start"/>
      <w:pPr>
        <w:tabs>
          <w:tab w:val="num" w:pos="0"/>
        </w:tabs>
        <w:ind w:start="1430" w:hanging="720"/>
      </w:pPr>
      <w:rPr>
        <w:u w:val="none"/>
      </w:rPr>
    </w:lvl>
    <w:lvl w:ilvl="3">
      <w:start w:val="1"/>
      <w:numFmt w:val="decimal"/>
      <w:lvlText w:val="%1.%2.%3.%4"/>
      <w:lvlJc w:val="start"/>
      <w:pPr>
        <w:tabs>
          <w:tab w:val="num" w:pos="0"/>
        </w:tabs>
        <w:ind w:start="2160" w:hanging="1080"/>
      </w:pPr>
      <w:rPr>
        <w:u w:val="none"/>
      </w:rPr>
    </w:lvl>
    <w:lvl w:ilvl="4">
      <w:start w:val="1"/>
      <w:numFmt w:val="decimal"/>
      <w:lvlText w:val="%1.%2.%3.%4.%5"/>
      <w:lvlJc w:val="start"/>
      <w:pPr>
        <w:tabs>
          <w:tab w:val="num" w:pos="0"/>
        </w:tabs>
        <w:ind w:start="2520" w:hanging="1080"/>
      </w:pPr>
      <w:rPr>
        <w:u w:val="none"/>
      </w:rPr>
    </w:lvl>
    <w:lvl w:ilvl="5">
      <w:start w:val="1"/>
      <w:numFmt w:val="decimal"/>
      <w:lvlText w:val="%1.%2.%3.%4.%5.%6"/>
      <w:lvlJc w:val="start"/>
      <w:pPr>
        <w:tabs>
          <w:tab w:val="num" w:pos="0"/>
        </w:tabs>
        <w:ind w:start="3240" w:hanging="1440"/>
      </w:pPr>
      <w:rPr>
        <w:u w:val="none"/>
      </w:rPr>
    </w:lvl>
    <w:lvl w:ilvl="6">
      <w:start w:val="1"/>
      <w:numFmt w:val="decimal"/>
      <w:lvlText w:val="%1.%2.%3.%4.%5.%6.%7"/>
      <w:lvlJc w:val="start"/>
      <w:pPr>
        <w:tabs>
          <w:tab w:val="num" w:pos="0"/>
        </w:tabs>
        <w:ind w:start="3600" w:hanging="1440"/>
      </w:pPr>
      <w:rPr>
        <w:u w:val="none"/>
      </w:rPr>
    </w:lvl>
    <w:lvl w:ilvl="7">
      <w:start w:val="1"/>
      <w:numFmt w:val="decimal"/>
      <w:lvlText w:val="%1.%2.%3.%4.%5.%6.%7.%8"/>
      <w:lvlJc w:val="start"/>
      <w:pPr>
        <w:tabs>
          <w:tab w:val="num" w:pos="0"/>
        </w:tabs>
        <w:ind w:start="4320" w:hanging="1800"/>
      </w:pPr>
      <w:rPr>
        <w:u w:val="none"/>
      </w:rPr>
    </w:lvl>
    <w:lvl w:ilvl="8">
      <w:start w:val="1"/>
      <w:numFmt w:val="decimal"/>
      <w:lvlText w:val="%1.%2.%3.%4.%5.%6.%7.%8.%9"/>
      <w:lvlJc w:val="start"/>
      <w:pPr>
        <w:tabs>
          <w:tab w:val="num" w:pos="0"/>
        </w:tabs>
        <w:ind w:start="4680" w:hanging="1800"/>
      </w:pPr>
      <w:rPr>
        <w:u w:val="none"/>
      </w:rPr>
    </w:lvl>
  </w:abstractNum>
  <w:abstractNum w:abstractNumId="11">
    <w:lvl w:ilvl="0">
      <w:start w:val="1"/>
      <w:numFmt w:val="lowerLetter"/>
      <w:lvlText w:val="%1)"/>
      <w:lvlJc w:val="start"/>
      <w:pPr>
        <w:tabs>
          <w:tab w:val="num" w:pos="0"/>
        </w:tabs>
        <w:ind w:start="1608" w:hanging="360"/>
      </w:pPr>
      <w:rPr>
        <w:u w:val="none"/>
      </w:rPr>
    </w:lvl>
    <w:lvl w:ilvl="1">
      <w:start w:val="1"/>
      <w:numFmt w:val="lowerLetter"/>
      <w:lvlText w:val="%2."/>
      <w:lvlJc w:val="start"/>
      <w:pPr>
        <w:tabs>
          <w:tab w:val="num" w:pos="0"/>
        </w:tabs>
        <w:ind w:start="2328" w:hanging="360"/>
      </w:pPr>
      <w:rPr>
        <w:u w:val="none"/>
      </w:rPr>
    </w:lvl>
    <w:lvl w:ilvl="2">
      <w:start w:val="1"/>
      <w:numFmt w:val="lowerRoman"/>
      <w:lvlText w:val="%3."/>
      <w:lvlJc w:val="end"/>
      <w:pPr>
        <w:tabs>
          <w:tab w:val="num" w:pos="0"/>
        </w:tabs>
        <w:ind w:start="3048" w:hanging="180"/>
      </w:pPr>
      <w:rPr>
        <w:u w:val="none"/>
      </w:rPr>
    </w:lvl>
    <w:lvl w:ilvl="3">
      <w:start w:val="1"/>
      <w:numFmt w:val="decimal"/>
      <w:lvlText w:val="%4."/>
      <w:lvlJc w:val="start"/>
      <w:pPr>
        <w:tabs>
          <w:tab w:val="num" w:pos="0"/>
        </w:tabs>
        <w:ind w:start="3768" w:hanging="360"/>
      </w:pPr>
      <w:rPr>
        <w:u w:val="none"/>
      </w:rPr>
    </w:lvl>
    <w:lvl w:ilvl="4">
      <w:start w:val="1"/>
      <w:numFmt w:val="lowerLetter"/>
      <w:lvlText w:val="%5."/>
      <w:lvlJc w:val="start"/>
      <w:pPr>
        <w:tabs>
          <w:tab w:val="num" w:pos="0"/>
        </w:tabs>
        <w:ind w:start="4488" w:hanging="360"/>
      </w:pPr>
      <w:rPr>
        <w:u w:val="none"/>
      </w:rPr>
    </w:lvl>
    <w:lvl w:ilvl="5">
      <w:start w:val="1"/>
      <w:numFmt w:val="lowerRoman"/>
      <w:lvlText w:val="%6."/>
      <w:lvlJc w:val="end"/>
      <w:pPr>
        <w:tabs>
          <w:tab w:val="num" w:pos="0"/>
        </w:tabs>
        <w:ind w:start="5208" w:hanging="180"/>
      </w:pPr>
      <w:rPr>
        <w:u w:val="none"/>
      </w:rPr>
    </w:lvl>
    <w:lvl w:ilvl="6">
      <w:start w:val="1"/>
      <w:numFmt w:val="decimal"/>
      <w:lvlText w:val="%7."/>
      <w:lvlJc w:val="start"/>
      <w:pPr>
        <w:tabs>
          <w:tab w:val="num" w:pos="0"/>
        </w:tabs>
        <w:ind w:start="5928" w:hanging="360"/>
      </w:pPr>
      <w:rPr>
        <w:u w:val="none"/>
      </w:rPr>
    </w:lvl>
    <w:lvl w:ilvl="7">
      <w:start w:val="1"/>
      <w:numFmt w:val="lowerLetter"/>
      <w:lvlText w:val="%8."/>
      <w:lvlJc w:val="start"/>
      <w:pPr>
        <w:tabs>
          <w:tab w:val="num" w:pos="0"/>
        </w:tabs>
        <w:ind w:start="6648" w:hanging="360"/>
      </w:pPr>
      <w:rPr>
        <w:u w:val="none"/>
      </w:rPr>
    </w:lvl>
    <w:lvl w:ilvl="8">
      <w:start w:val="1"/>
      <w:numFmt w:val="lowerRoman"/>
      <w:lvlText w:val="%9."/>
      <w:lvlJc w:val="end"/>
      <w:pPr>
        <w:tabs>
          <w:tab w:val="num" w:pos="0"/>
        </w:tabs>
        <w:ind w:start="7368" w:hanging="180"/>
      </w:pPr>
      <w:rPr>
        <w:u w:val="none"/>
      </w:rPr>
    </w:lvl>
  </w:abstractNum>
  <w:abstractNum w:abstractNumId="12">
    <w:lvl w:ilvl="0">
      <w:start w:val="1"/>
      <w:numFmt w:val="lowerLetter"/>
      <w:lvlText w:val="%1)"/>
      <w:lvlJc w:val="start"/>
      <w:pPr>
        <w:tabs>
          <w:tab w:val="num" w:pos="0"/>
        </w:tabs>
        <w:ind w:start="1608" w:hanging="360"/>
      </w:pPr>
      <w:rPr>
        <w:u w:val="none"/>
      </w:rPr>
    </w:lvl>
    <w:lvl w:ilvl="1">
      <w:start w:val="1"/>
      <w:numFmt w:val="lowerLetter"/>
      <w:lvlText w:val="%2."/>
      <w:lvlJc w:val="start"/>
      <w:pPr>
        <w:tabs>
          <w:tab w:val="num" w:pos="0"/>
        </w:tabs>
        <w:ind w:start="2328" w:hanging="360"/>
      </w:pPr>
      <w:rPr>
        <w:u w:val="none"/>
      </w:rPr>
    </w:lvl>
    <w:lvl w:ilvl="2">
      <w:start w:val="1"/>
      <w:numFmt w:val="lowerRoman"/>
      <w:lvlText w:val="%3."/>
      <w:lvlJc w:val="end"/>
      <w:pPr>
        <w:tabs>
          <w:tab w:val="num" w:pos="0"/>
        </w:tabs>
        <w:ind w:start="3048" w:hanging="180"/>
      </w:pPr>
      <w:rPr>
        <w:u w:val="none"/>
      </w:rPr>
    </w:lvl>
    <w:lvl w:ilvl="3">
      <w:start w:val="1"/>
      <w:numFmt w:val="decimal"/>
      <w:lvlText w:val="%4."/>
      <w:lvlJc w:val="start"/>
      <w:pPr>
        <w:tabs>
          <w:tab w:val="num" w:pos="0"/>
        </w:tabs>
        <w:ind w:start="3768" w:hanging="360"/>
      </w:pPr>
      <w:rPr>
        <w:u w:val="none"/>
      </w:rPr>
    </w:lvl>
    <w:lvl w:ilvl="4">
      <w:start w:val="1"/>
      <w:numFmt w:val="lowerLetter"/>
      <w:lvlText w:val="%5."/>
      <w:lvlJc w:val="start"/>
      <w:pPr>
        <w:tabs>
          <w:tab w:val="num" w:pos="0"/>
        </w:tabs>
        <w:ind w:start="4488" w:hanging="360"/>
      </w:pPr>
      <w:rPr>
        <w:u w:val="none"/>
      </w:rPr>
    </w:lvl>
    <w:lvl w:ilvl="5">
      <w:start w:val="1"/>
      <w:numFmt w:val="lowerRoman"/>
      <w:lvlText w:val="%6."/>
      <w:lvlJc w:val="end"/>
      <w:pPr>
        <w:tabs>
          <w:tab w:val="num" w:pos="0"/>
        </w:tabs>
        <w:ind w:start="5208" w:hanging="180"/>
      </w:pPr>
      <w:rPr>
        <w:u w:val="none"/>
      </w:rPr>
    </w:lvl>
    <w:lvl w:ilvl="6">
      <w:start w:val="1"/>
      <w:numFmt w:val="decimal"/>
      <w:lvlText w:val="%7."/>
      <w:lvlJc w:val="start"/>
      <w:pPr>
        <w:tabs>
          <w:tab w:val="num" w:pos="0"/>
        </w:tabs>
        <w:ind w:start="5928" w:hanging="360"/>
      </w:pPr>
      <w:rPr>
        <w:u w:val="none"/>
      </w:rPr>
    </w:lvl>
    <w:lvl w:ilvl="7">
      <w:start w:val="1"/>
      <w:numFmt w:val="lowerLetter"/>
      <w:lvlText w:val="%8."/>
      <w:lvlJc w:val="start"/>
      <w:pPr>
        <w:tabs>
          <w:tab w:val="num" w:pos="0"/>
        </w:tabs>
        <w:ind w:start="6648" w:hanging="360"/>
      </w:pPr>
      <w:rPr>
        <w:u w:val="none"/>
      </w:rPr>
    </w:lvl>
    <w:lvl w:ilvl="8">
      <w:start w:val="1"/>
      <w:numFmt w:val="lowerRoman"/>
      <w:lvlText w:val="%9."/>
      <w:lvlJc w:val="end"/>
      <w:pPr>
        <w:tabs>
          <w:tab w:val="num" w:pos="0"/>
        </w:tabs>
        <w:ind w:start="7368" w:hanging="180"/>
      </w:pPr>
      <w:rPr>
        <w:u w:val="none"/>
      </w:rPr>
    </w:lvl>
  </w:abstractNum>
  <w:abstractNum w:abstractNumId="13">
    <w:lvl w:ilvl="0">
      <w:start w:val="1"/>
      <w:numFmt w:val="bullet"/>
      <w:lvlText w:val=""/>
      <w:lvlJc w:val="start"/>
      <w:pPr>
        <w:tabs>
          <w:tab w:val="num" w:pos="0"/>
        </w:tabs>
        <w:ind w:start="720" w:hanging="360"/>
      </w:pPr>
      <w:rPr>
        <w:rFonts w:ascii="Wingdings" w:hAnsi="Wingdings" w:cs="Wingdings" w:hint="default"/>
        <w:u w:val="none"/>
      </w:rPr>
    </w:lvl>
    <w:lvl w:ilvl="1">
      <w:start w:val="1"/>
      <w:numFmt w:val="bullet"/>
      <w:lvlText w:val="◦"/>
      <w:lvlJc w:val="start"/>
      <w:pPr>
        <w:tabs>
          <w:tab w:val="num" w:pos="0"/>
        </w:tabs>
        <w:ind w:start="1080" w:hanging="360"/>
      </w:pPr>
      <w:rPr>
        <w:rFonts w:ascii="OpenSymbol" w:hAnsi="OpenSymbol" w:cs="OpenSymbol" w:hint="default"/>
        <w:u w:val="none"/>
      </w:rPr>
    </w:lvl>
    <w:lvl w:ilvl="2">
      <w:start w:val="1"/>
      <w:numFmt w:val="bullet"/>
      <w:lvlText w:val="▪"/>
      <w:lvlJc w:val="start"/>
      <w:pPr>
        <w:tabs>
          <w:tab w:val="num" w:pos="0"/>
        </w:tabs>
        <w:ind w:start="1440" w:hanging="360"/>
      </w:pPr>
      <w:rPr>
        <w:rFonts w:ascii="OpenSymbol" w:hAnsi="OpenSymbol" w:cs="OpenSymbol" w:hint="default"/>
        <w:u w:val="none"/>
      </w:rPr>
    </w:lvl>
    <w:lvl w:ilvl="3">
      <w:start w:val="1"/>
      <w:numFmt w:val="bullet"/>
      <w:lvlText w:val=""/>
      <w:lvlJc w:val="start"/>
      <w:pPr>
        <w:tabs>
          <w:tab w:val="num" w:pos="0"/>
        </w:tabs>
        <w:ind w:start="1800" w:hanging="360"/>
      </w:pPr>
      <w:rPr>
        <w:rFonts w:ascii="Wingdings" w:hAnsi="Wingdings" w:cs="Wingdings" w:hint="default"/>
        <w:u w:val="none"/>
      </w:rPr>
    </w:lvl>
    <w:lvl w:ilvl="4">
      <w:start w:val="1"/>
      <w:numFmt w:val="bullet"/>
      <w:lvlText w:val="◦"/>
      <w:lvlJc w:val="start"/>
      <w:pPr>
        <w:tabs>
          <w:tab w:val="num" w:pos="0"/>
        </w:tabs>
        <w:ind w:start="2160" w:hanging="360"/>
      </w:pPr>
      <w:rPr>
        <w:rFonts w:ascii="OpenSymbol" w:hAnsi="OpenSymbol" w:cs="OpenSymbol" w:hint="default"/>
        <w:u w:val="none"/>
      </w:rPr>
    </w:lvl>
    <w:lvl w:ilvl="5">
      <w:start w:val="1"/>
      <w:numFmt w:val="bullet"/>
      <w:lvlText w:val="▪"/>
      <w:lvlJc w:val="start"/>
      <w:pPr>
        <w:tabs>
          <w:tab w:val="num" w:pos="0"/>
        </w:tabs>
        <w:ind w:start="2520" w:hanging="360"/>
      </w:pPr>
      <w:rPr>
        <w:rFonts w:ascii="OpenSymbol" w:hAnsi="OpenSymbol" w:cs="OpenSymbol" w:hint="default"/>
        <w:u w:val="none"/>
      </w:rPr>
    </w:lvl>
    <w:lvl w:ilvl="6">
      <w:start w:val="1"/>
      <w:numFmt w:val="bullet"/>
      <w:lvlText w:val=""/>
      <w:lvlJc w:val="start"/>
      <w:pPr>
        <w:tabs>
          <w:tab w:val="num" w:pos="0"/>
        </w:tabs>
        <w:ind w:start="2880" w:hanging="360"/>
      </w:pPr>
      <w:rPr>
        <w:rFonts w:ascii="Wingdings" w:hAnsi="Wingdings" w:cs="Wingdings" w:hint="default"/>
        <w:u w:val="none"/>
      </w:rPr>
    </w:lvl>
    <w:lvl w:ilvl="7">
      <w:start w:val="1"/>
      <w:numFmt w:val="bullet"/>
      <w:lvlText w:val="◦"/>
      <w:lvlJc w:val="start"/>
      <w:pPr>
        <w:tabs>
          <w:tab w:val="num" w:pos="0"/>
        </w:tabs>
        <w:ind w:start="3240" w:hanging="360"/>
      </w:pPr>
      <w:rPr>
        <w:rFonts w:ascii="OpenSymbol" w:hAnsi="OpenSymbol" w:cs="OpenSymbol" w:hint="default"/>
        <w:u w:val="none"/>
      </w:rPr>
    </w:lvl>
    <w:lvl w:ilvl="8">
      <w:start w:val="1"/>
      <w:numFmt w:val="bullet"/>
      <w:lvlText w:val="▪"/>
      <w:lvlJc w:val="start"/>
      <w:pPr>
        <w:tabs>
          <w:tab w:val="num" w:pos="0"/>
        </w:tabs>
        <w:ind w:start="3600" w:hanging="360"/>
      </w:pPr>
      <w:rPr>
        <w:rFonts w:ascii="OpenSymbol" w:hAnsi="OpenSymbol" w:cs="OpenSymbol" w:hint="default"/>
        <w:u w:val="none"/>
      </w:rPr>
    </w:lvl>
  </w:abstractNum>
  <w:abstractNum w:abstractNumId="14">
    <w:lvl w:ilvl="0">
      <w:start w:val="1"/>
      <w:numFmt w:val="bullet"/>
      <w:lvlText w:val=""/>
      <w:lvlJc w:val="start"/>
      <w:pPr>
        <w:tabs>
          <w:tab w:val="num" w:pos="0"/>
        </w:tabs>
        <w:ind w:start="720" w:hanging="360"/>
      </w:pPr>
      <w:rPr>
        <w:rFonts w:ascii="Wingdings" w:hAnsi="Wingdings" w:cs="Wingdings" w:hint="default"/>
        <w:u w:val="none"/>
      </w:rPr>
    </w:lvl>
    <w:lvl w:ilvl="1">
      <w:start w:val="1"/>
      <w:numFmt w:val="bullet"/>
      <w:lvlText w:val="o"/>
      <w:lvlJc w:val="start"/>
      <w:pPr>
        <w:tabs>
          <w:tab w:val="num" w:pos="0"/>
        </w:tabs>
        <w:ind w:start="1440" w:hanging="360"/>
      </w:pPr>
      <w:rPr>
        <w:rFonts w:ascii="OpenSymbol" w:hAnsi="OpenSymbol" w:cs="OpenSymbol" w:hint="default"/>
        <w:u w:val="none"/>
      </w:rPr>
    </w:lvl>
    <w:lvl w:ilvl="2">
      <w:start w:val="1"/>
      <w:numFmt w:val="bullet"/>
      <w:lvlText w:val="▪"/>
      <w:lvlJc w:val="start"/>
      <w:pPr>
        <w:tabs>
          <w:tab w:val="num" w:pos="0"/>
        </w:tabs>
        <w:ind w:start="2160" w:hanging="360"/>
      </w:pPr>
      <w:rPr>
        <w:rFonts w:ascii="OpenSymbol" w:hAnsi="OpenSymbol" w:cs="OpenSymbol" w:hint="default"/>
        <w:u w:val="none"/>
      </w:rPr>
    </w:lvl>
    <w:lvl w:ilvl="3">
      <w:start w:val="1"/>
      <w:numFmt w:val="bullet"/>
      <w:lvlText w:val=""/>
      <w:lvlJc w:val="start"/>
      <w:pPr>
        <w:tabs>
          <w:tab w:val="num" w:pos="0"/>
        </w:tabs>
        <w:ind w:start="2880" w:hanging="360"/>
      </w:pPr>
      <w:rPr>
        <w:rFonts w:ascii="Wingdings" w:hAnsi="Wingdings" w:cs="Wingdings" w:hint="default"/>
        <w:u w:val="none"/>
      </w:rPr>
    </w:lvl>
    <w:lvl w:ilvl="4">
      <w:start w:val="1"/>
      <w:numFmt w:val="bullet"/>
      <w:lvlText w:val="o"/>
      <w:lvlJc w:val="start"/>
      <w:pPr>
        <w:tabs>
          <w:tab w:val="num" w:pos="0"/>
        </w:tabs>
        <w:ind w:start="3600" w:hanging="360"/>
      </w:pPr>
      <w:rPr>
        <w:rFonts w:ascii="OpenSymbol" w:hAnsi="OpenSymbol" w:cs="OpenSymbol" w:hint="default"/>
        <w:u w:val="none"/>
      </w:rPr>
    </w:lvl>
    <w:lvl w:ilvl="5">
      <w:start w:val="1"/>
      <w:numFmt w:val="bullet"/>
      <w:lvlText w:val="▪"/>
      <w:lvlJc w:val="start"/>
      <w:pPr>
        <w:tabs>
          <w:tab w:val="num" w:pos="0"/>
        </w:tabs>
        <w:ind w:start="4320" w:hanging="360"/>
      </w:pPr>
      <w:rPr>
        <w:rFonts w:ascii="OpenSymbol" w:hAnsi="OpenSymbol" w:cs="OpenSymbol" w:hint="default"/>
        <w:u w:val="none"/>
      </w:rPr>
    </w:lvl>
    <w:lvl w:ilvl="6">
      <w:start w:val="1"/>
      <w:numFmt w:val="bullet"/>
      <w:lvlText w:val=""/>
      <w:lvlJc w:val="start"/>
      <w:pPr>
        <w:tabs>
          <w:tab w:val="num" w:pos="0"/>
        </w:tabs>
        <w:ind w:start="5040" w:hanging="360"/>
      </w:pPr>
      <w:rPr>
        <w:rFonts w:ascii="Wingdings" w:hAnsi="Wingdings" w:cs="Wingdings" w:hint="default"/>
        <w:u w:val="none"/>
      </w:rPr>
    </w:lvl>
    <w:lvl w:ilvl="7">
      <w:start w:val="1"/>
      <w:numFmt w:val="bullet"/>
      <w:lvlText w:val="o"/>
      <w:lvlJc w:val="start"/>
      <w:pPr>
        <w:tabs>
          <w:tab w:val="num" w:pos="0"/>
        </w:tabs>
        <w:ind w:start="5760" w:hanging="360"/>
      </w:pPr>
      <w:rPr>
        <w:rFonts w:ascii="OpenSymbol" w:hAnsi="OpenSymbol" w:cs="OpenSymbol" w:hint="default"/>
        <w:u w:val="none"/>
      </w:rPr>
    </w:lvl>
    <w:lvl w:ilvl="8">
      <w:start w:val="1"/>
      <w:numFmt w:val="bullet"/>
      <w:lvlText w:val="▪"/>
      <w:lvlJc w:val="start"/>
      <w:pPr>
        <w:tabs>
          <w:tab w:val="num" w:pos="0"/>
        </w:tabs>
        <w:ind w:start="6480" w:hanging="360"/>
      </w:pPr>
      <w:rPr>
        <w:rFonts w:ascii="OpenSymbol" w:hAnsi="OpenSymbol" w:cs="OpenSymbol" w:hint="default"/>
        <w:u w:val="none"/>
      </w:rPr>
    </w:lvl>
  </w:abstractNum>
  <w:abstractNum w:abstractNumId="15">
    <w:lvl w:ilvl="0">
      <w:start w:val="1"/>
      <w:numFmt w:val="decimal"/>
      <w:lvlText w:val="%1)"/>
      <w:lvlJc w:val="start"/>
      <w:pPr>
        <w:tabs>
          <w:tab w:val="num" w:pos="0"/>
        </w:tabs>
        <w:ind w:start="720" w:hanging="360"/>
      </w:pPr>
      <w:rPr>
        <w:u w:val="none"/>
      </w:rPr>
    </w:lvl>
    <w:lvl w:ilvl="1">
      <w:start w:val="1"/>
      <w:numFmt w:val="lowerLetter"/>
      <w:lvlText w:val="%2)"/>
      <w:lvlJc w:val="start"/>
      <w:pPr>
        <w:tabs>
          <w:tab w:val="num" w:pos="0"/>
        </w:tabs>
        <w:ind w:start="1440" w:hanging="360"/>
      </w:pPr>
      <w:rPr>
        <w:u w:val="none"/>
      </w:rPr>
    </w:lvl>
    <w:lvl w:ilvl="2">
      <w:start w:val="1"/>
      <w:numFmt w:val="lowerRoman"/>
      <w:lvlText w:val="%3)"/>
      <w:lvlJc w:val="end"/>
      <w:pPr>
        <w:tabs>
          <w:tab w:val="num" w:pos="0"/>
        </w:tabs>
        <w:ind w:start="2160" w:hanging="360"/>
      </w:pPr>
      <w:rPr>
        <w:u w:val="none"/>
      </w:rPr>
    </w:lvl>
    <w:lvl w:ilvl="3">
      <w:start w:val="1"/>
      <w:numFmt w:val="decimal"/>
      <w:lvlText w:val="(%4)"/>
      <w:lvlJc w:val="start"/>
      <w:pPr>
        <w:tabs>
          <w:tab w:val="num" w:pos="0"/>
        </w:tabs>
        <w:ind w:start="2880" w:hanging="360"/>
      </w:pPr>
      <w:rPr>
        <w:u w:val="none"/>
      </w:rPr>
    </w:lvl>
    <w:lvl w:ilvl="4">
      <w:start w:val="1"/>
      <w:numFmt w:val="lowerLetter"/>
      <w:lvlText w:val="(%5)"/>
      <w:lvlJc w:val="start"/>
      <w:pPr>
        <w:tabs>
          <w:tab w:val="num" w:pos="0"/>
        </w:tabs>
        <w:ind w:start="3600" w:hanging="360"/>
      </w:pPr>
      <w:rPr>
        <w:u w:val="none"/>
      </w:rPr>
    </w:lvl>
    <w:lvl w:ilvl="5">
      <w:start w:val="1"/>
      <w:numFmt w:val="lowerRoman"/>
      <w:lvlText w:val="(%6)"/>
      <w:lvlJc w:val="end"/>
      <w:pPr>
        <w:tabs>
          <w:tab w:val="num" w:pos="0"/>
        </w:tabs>
        <w:ind w:start="4320" w:hanging="360"/>
      </w:pPr>
      <w:rPr>
        <w:u w:val="none"/>
      </w:rPr>
    </w:lvl>
    <w:lvl w:ilvl="6">
      <w:start w:val="1"/>
      <w:numFmt w:val="decimal"/>
      <w:lvlText w:val="%7."/>
      <w:lvlJc w:val="start"/>
      <w:pPr>
        <w:tabs>
          <w:tab w:val="num" w:pos="0"/>
        </w:tabs>
        <w:ind w:start="5040" w:hanging="360"/>
      </w:pPr>
      <w:rPr>
        <w:u w:val="none"/>
      </w:rPr>
    </w:lvl>
    <w:lvl w:ilvl="7">
      <w:start w:val="1"/>
      <w:numFmt w:val="lowerLetter"/>
      <w:lvlText w:val="%8."/>
      <w:lvlJc w:val="start"/>
      <w:pPr>
        <w:tabs>
          <w:tab w:val="num" w:pos="0"/>
        </w:tabs>
        <w:ind w:start="5760" w:hanging="360"/>
      </w:pPr>
      <w:rPr>
        <w:u w:val="none"/>
      </w:rPr>
    </w:lvl>
    <w:lvl w:ilvl="8">
      <w:start w:val="1"/>
      <w:numFmt w:val="lowerRoman"/>
      <w:lvlText w:val="%9."/>
      <w:lvlJc w:val="end"/>
      <w:pPr>
        <w:tabs>
          <w:tab w:val="num" w:pos="0"/>
        </w:tabs>
        <w:ind w:start="6480" w:hanging="360"/>
      </w:pPr>
      <w:rPr>
        <w:u w:val="none"/>
      </w:rPr>
    </w:lvl>
  </w:abstractNum>
  <w:abstractNum w:abstractNumId="16">
    <w:lvl w:ilvl="0">
      <w:start w:val="1"/>
      <w:numFmt w:val="lowerLetter"/>
      <w:lvlText w:val="%1)"/>
      <w:lvlJc w:val="start"/>
      <w:pPr>
        <w:tabs>
          <w:tab w:val="num" w:pos="0"/>
        </w:tabs>
        <w:ind w:start="477" w:hanging="246"/>
      </w:pPr>
      <w:rPr>
        <w:rFonts w:ascii="Arial" w:hAnsi="Arial" w:eastAsia="Arial" w:cs="Arial"/>
        <w:sz w:val="22"/>
        <w:szCs w:val="22"/>
      </w:rPr>
    </w:lvl>
    <w:lvl w:ilvl="1">
      <w:start w:val="1"/>
      <w:numFmt w:val="lowerLetter"/>
      <w:lvlText w:val="%2)"/>
      <w:lvlJc w:val="start"/>
      <w:pPr>
        <w:tabs>
          <w:tab w:val="num" w:pos="0"/>
        </w:tabs>
        <w:ind w:start="1583" w:hanging="245"/>
      </w:pPr>
      <w:rPr>
        <w:rFonts w:ascii="Times New Roman" w:hAnsi="Times New Roman" w:eastAsia="Times New Roman" w:cs="Times New Roman"/>
        <w:sz w:val="24"/>
        <w:szCs w:val="24"/>
      </w:rPr>
    </w:lvl>
    <w:lvl w:ilvl="2">
      <w:start w:val="0"/>
      <w:numFmt w:val="bullet"/>
      <w:lvlText w:val=""/>
      <w:lvlJc w:val="start"/>
      <w:pPr>
        <w:tabs>
          <w:tab w:val="num" w:pos="0"/>
        </w:tabs>
        <w:ind w:start="2597" w:hanging="246"/>
      </w:pPr>
      <w:rPr>
        <w:rFonts w:ascii="Symbol" w:hAnsi="Symbol" w:cs="Symbol" w:hint="default"/>
      </w:rPr>
    </w:lvl>
    <w:lvl w:ilvl="3">
      <w:start w:val="0"/>
      <w:numFmt w:val="bullet"/>
      <w:lvlText w:val=""/>
      <w:lvlJc w:val="start"/>
      <w:pPr>
        <w:tabs>
          <w:tab w:val="num" w:pos="0"/>
        </w:tabs>
        <w:ind w:start="3615" w:hanging="246"/>
      </w:pPr>
      <w:rPr>
        <w:rFonts w:ascii="Symbol" w:hAnsi="Symbol" w:cs="Symbol" w:hint="default"/>
      </w:rPr>
    </w:lvl>
    <w:lvl w:ilvl="4">
      <w:start w:val="0"/>
      <w:numFmt w:val="bullet"/>
      <w:lvlText w:val=""/>
      <w:lvlJc w:val="start"/>
      <w:pPr>
        <w:tabs>
          <w:tab w:val="num" w:pos="0"/>
        </w:tabs>
        <w:ind w:start="4633" w:hanging="246"/>
      </w:pPr>
      <w:rPr>
        <w:rFonts w:ascii="Symbol" w:hAnsi="Symbol" w:cs="Symbol" w:hint="default"/>
      </w:rPr>
    </w:lvl>
    <w:lvl w:ilvl="5">
      <w:start w:val="0"/>
      <w:numFmt w:val="bullet"/>
      <w:lvlText w:val=""/>
      <w:lvlJc w:val="start"/>
      <w:pPr>
        <w:tabs>
          <w:tab w:val="num" w:pos="0"/>
        </w:tabs>
        <w:ind w:start="5651" w:hanging="246"/>
      </w:pPr>
      <w:rPr>
        <w:rFonts w:ascii="Symbol" w:hAnsi="Symbol" w:cs="Symbol" w:hint="default"/>
      </w:rPr>
    </w:lvl>
    <w:lvl w:ilvl="6">
      <w:start w:val="0"/>
      <w:numFmt w:val="bullet"/>
      <w:lvlText w:val=""/>
      <w:lvlJc w:val="start"/>
      <w:pPr>
        <w:tabs>
          <w:tab w:val="num" w:pos="0"/>
        </w:tabs>
        <w:ind w:start="6668" w:hanging="246"/>
      </w:pPr>
      <w:rPr>
        <w:rFonts w:ascii="Symbol" w:hAnsi="Symbol" w:cs="Symbol" w:hint="default"/>
      </w:rPr>
    </w:lvl>
    <w:lvl w:ilvl="7">
      <w:start w:val="0"/>
      <w:numFmt w:val="bullet"/>
      <w:lvlText w:val=""/>
      <w:lvlJc w:val="start"/>
      <w:pPr>
        <w:tabs>
          <w:tab w:val="num" w:pos="0"/>
        </w:tabs>
        <w:ind w:start="7686" w:hanging="246"/>
      </w:pPr>
      <w:rPr>
        <w:rFonts w:ascii="Symbol" w:hAnsi="Symbol" w:cs="Symbol" w:hint="default"/>
      </w:rPr>
    </w:lvl>
    <w:lvl w:ilvl="8">
      <w:start w:val="0"/>
      <w:numFmt w:val="bullet"/>
      <w:lvlText w:val=""/>
      <w:lvlJc w:val="start"/>
      <w:pPr>
        <w:tabs>
          <w:tab w:val="num" w:pos="0"/>
        </w:tabs>
        <w:ind w:start="8704" w:hanging="246"/>
      </w:pPr>
      <w:rPr>
        <w:rFonts w:ascii="Symbol" w:hAnsi="Symbol" w:cs="Symbol" w:hint="default"/>
      </w:rPr>
    </w:lvl>
  </w:abstractNum>
  <w:abstractNum w:abstractNumId="17">
    <w:lvl w:ilvl="0">
      <w:start w:val="17"/>
      <w:numFmt w:val="decimal"/>
      <w:lvlText w:val="%1."/>
      <w:lvlJc w:val="start"/>
      <w:pPr>
        <w:tabs>
          <w:tab w:val="num" w:pos="0"/>
        </w:tabs>
        <w:ind w:start="480" w:hanging="480"/>
      </w:pPr>
      <w:rPr/>
    </w:lvl>
    <w:lvl w:ilvl="1">
      <w:start w:val="1"/>
      <w:numFmt w:val="decimal"/>
      <w:lvlText w:val="%1.%2."/>
      <w:lvlJc w:val="start"/>
      <w:pPr>
        <w:tabs>
          <w:tab w:val="num" w:pos="0"/>
        </w:tabs>
        <w:ind w:start="712" w:hanging="480"/>
      </w:pPr>
      <w:rPr>
        <w:b/>
        <w:bCs/>
      </w:rPr>
    </w:lvl>
    <w:lvl w:ilvl="2">
      <w:start w:val="1"/>
      <w:numFmt w:val="decimal"/>
      <w:lvlText w:val="%1.%2.%3."/>
      <w:lvlJc w:val="start"/>
      <w:pPr>
        <w:tabs>
          <w:tab w:val="num" w:pos="0"/>
        </w:tabs>
        <w:ind w:start="1184" w:hanging="720"/>
      </w:pPr>
      <w:rPr/>
    </w:lvl>
    <w:lvl w:ilvl="3">
      <w:start w:val="1"/>
      <w:numFmt w:val="decimal"/>
      <w:lvlText w:val="%1.%2.%3.%4."/>
      <w:lvlJc w:val="start"/>
      <w:pPr>
        <w:tabs>
          <w:tab w:val="num" w:pos="0"/>
        </w:tabs>
        <w:ind w:start="1416" w:hanging="720"/>
      </w:pPr>
      <w:rPr/>
    </w:lvl>
    <w:lvl w:ilvl="4">
      <w:start w:val="1"/>
      <w:numFmt w:val="decimal"/>
      <w:lvlText w:val="%1.%2.%3.%4.%5."/>
      <w:lvlJc w:val="start"/>
      <w:pPr>
        <w:tabs>
          <w:tab w:val="num" w:pos="0"/>
        </w:tabs>
        <w:ind w:start="2008" w:hanging="1080"/>
      </w:pPr>
      <w:rPr/>
    </w:lvl>
    <w:lvl w:ilvl="5">
      <w:start w:val="1"/>
      <w:numFmt w:val="decimal"/>
      <w:lvlText w:val="%1.%2.%3.%4.%5.%6."/>
      <w:lvlJc w:val="start"/>
      <w:pPr>
        <w:tabs>
          <w:tab w:val="num" w:pos="0"/>
        </w:tabs>
        <w:ind w:start="2240" w:hanging="1080"/>
      </w:pPr>
      <w:rPr/>
    </w:lvl>
    <w:lvl w:ilvl="6">
      <w:start w:val="1"/>
      <w:numFmt w:val="decimal"/>
      <w:lvlText w:val="%1.%2.%3.%4.%5.%6.%7."/>
      <w:lvlJc w:val="start"/>
      <w:pPr>
        <w:tabs>
          <w:tab w:val="num" w:pos="0"/>
        </w:tabs>
        <w:ind w:start="2832" w:hanging="1440"/>
      </w:pPr>
      <w:rPr/>
    </w:lvl>
    <w:lvl w:ilvl="7">
      <w:start w:val="1"/>
      <w:numFmt w:val="decimal"/>
      <w:lvlText w:val="%1.%2.%3.%4.%5.%6.%7.%8."/>
      <w:lvlJc w:val="start"/>
      <w:pPr>
        <w:tabs>
          <w:tab w:val="num" w:pos="0"/>
        </w:tabs>
        <w:ind w:start="3064" w:hanging="1440"/>
      </w:pPr>
      <w:rPr/>
    </w:lvl>
    <w:lvl w:ilvl="8">
      <w:start w:val="1"/>
      <w:numFmt w:val="decimal"/>
      <w:lvlText w:val="%1.%2.%3.%4.%5.%6.%7.%8.%9."/>
      <w:lvlJc w:val="start"/>
      <w:pPr>
        <w:tabs>
          <w:tab w:val="num" w:pos="0"/>
        </w:tabs>
        <w:ind w:start="3656" w:hanging="1800"/>
      </w:pPr>
      <w:rPr/>
    </w:lvl>
  </w:abstractNum>
  <w:abstractNum w:abstractNumId="18">
    <w:lvl w:ilvl="0">
      <w:start w:val="19"/>
      <w:numFmt w:val="decimal"/>
      <w:lvlText w:val="%1."/>
      <w:lvlJc w:val="start"/>
      <w:pPr>
        <w:tabs>
          <w:tab w:val="num" w:pos="0"/>
        </w:tabs>
        <w:ind w:start="480" w:hanging="480"/>
      </w:pPr>
      <w:rPr/>
    </w:lvl>
    <w:lvl w:ilvl="1">
      <w:start w:val="1"/>
      <w:numFmt w:val="decimal"/>
      <w:lvlText w:val="%1.%2."/>
      <w:lvlJc w:val="start"/>
      <w:pPr>
        <w:tabs>
          <w:tab w:val="num" w:pos="0"/>
        </w:tabs>
        <w:ind w:start="480" w:hanging="480"/>
      </w:pPr>
      <w:rPr>
        <w:b/>
        <w:bCs/>
      </w:rPr>
    </w:lvl>
    <w:lvl w:ilvl="2">
      <w:start w:val="1"/>
      <w:numFmt w:val="decimal"/>
      <w:lvlText w:val="%1.%2.%3."/>
      <w:lvlJc w:val="start"/>
      <w:pPr>
        <w:tabs>
          <w:tab w:val="num" w:pos="0"/>
        </w:tabs>
        <w:ind w:start="720" w:hanging="720"/>
      </w:pPr>
      <w:rPr>
        <w:b/>
        <w:bCs/>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19">
    <w:lvl w:ilvl="0">
      <w:start w:val="7"/>
      <w:numFmt w:val="decimal"/>
      <w:lvlText w:val="%1"/>
      <w:lvlJc w:val="start"/>
      <w:pPr>
        <w:tabs>
          <w:tab w:val="num" w:pos="0"/>
        </w:tabs>
        <w:ind w:start="232" w:hanging="431"/>
      </w:pPr>
      <w:rPr/>
    </w:lvl>
    <w:lvl w:ilvl="1">
      <w:start w:val="0"/>
      <w:numFmt w:val="decimal"/>
      <w:lvlText w:val=""/>
      <w:lvlJc w:val="start"/>
      <w:pPr>
        <w:tabs>
          <w:tab w:val="num" w:pos="0"/>
        </w:tabs>
        <w:ind w:start="0" w:hanging="0"/>
      </w:pPr>
      <w:rPr/>
    </w:lvl>
    <w:lvl w:ilvl="2">
      <w:start w:val="0"/>
      <w:numFmt w:val="bullet"/>
      <w:lvlText w:val=""/>
      <w:lvlJc w:val="start"/>
      <w:pPr>
        <w:tabs>
          <w:tab w:val="num" w:pos="0"/>
        </w:tabs>
        <w:ind w:start="2340" w:hanging="431"/>
      </w:pPr>
      <w:rPr>
        <w:rFonts w:ascii="Symbol" w:hAnsi="Symbol" w:cs="Symbol" w:hint="default"/>
      </w:rPr>
    </w:lvl>
    <w:lvl w:ilvl="3">
      <w:start w:val="0"/>
      <w:numFmt w:val="bullet"/>
      <w:lvlText w:val=""/>
      <w:lvlJc w:val="start"/>
      <w:pPr>
        <w:tabs>
          <w:tab w:val="num" w:pos="0"/>
        </w:tabs>
        <w:ind w:start="3390" w:hanging="431"/>
      </w:pPr>
      <w:rPr>
        <w:rFonts w:ascii="Symbol" w:hAnsi="Symbol" w:cs="Symbol" w:hint="default"/>
      </w:rPr>
    </w:lvl>
    <w:lvl w:ilvl="4">
      <w:start w:val="0"/>
      <w:numFmt w:val="bullet"/>
      <w:lvlText w:val=""/>
      <w:lvlJc w:val="start"/>
      <w:pPr>
        <w:tabs>
          <w:tab w:val="num" w:pos="0"/>
        </w:tabs>
        <w:ind w:start="4440" w:hanging="431"/>
      </w:pPr>
      <w:rPr>
        <w:rFonts w:ascii="Symbol" w:hAnsi="Symbol" w:cs="Symbol" w:hint="default"/>
      </w:rPr>
    </w:lvl>
    <w:lvl w:ilvl="5">
      <w:start w:val="0"/>
      <w:numFmt w:val="bullet"/>
      <w:lvlText w:val=""/>
      <w:lvlJc w:val="start"/>
      <w:pPr>
        <w:tabs>
          <w:tab w:val="num" w:pos="0"/>
        </w:tabs>
        <w:ind w:start="5490" w:hanging="431"/>
      </w:pPr>
      <w:rPr>
        <w:rFonts w:ascii="Symbol" w:hAnsi="Symbol" w:cs="Symbol" w:hint="default"/>
      </w:rPr>
    </w:lvl>
    <w:lvl w:ilvl="6">
      <w:start w:val="0"/>
      <w:numFmt w:val="bullet"/>
      <w:lvlText w:val=""/>
      <w:lvlJc w:val="start"/>
      <w:pPr>
        <w:tabs>
          <w:tab w:val="num" w:pos="0"/>
        </w:tabs>
        <w:ind w:start="6540" w:hanging="431"/>
      </w:pPr>
      <w:rPr>
        <w:rFonts w:ascii="Symbol" w:hAnsi="Symbol" w:cs="Symbol" w:hint="default"/>
      </w:rPr>
    </w:lvl>
    <w:lvl w:ilvl="7">
      <w:start w:val="0"/>
      <w:numFmt w:val="bullet"/>
      <w:lvlText w:val=""/>
      <w:lvlJc w:val="start"/>
      <w:pPr>
        <w:tabs>
          <w:tab w:val="num" w:pos="0"/>
        </w:tabs>
        <w:ind w:start="7590" w:hanging="431"/>
      </w:pPr>
      <w:rPr>
        <w:rFonts w:ascii="Symbol" w:hAnsi="Symbol" w:cs="Symbol" w:hint="default"/>
      </w:rPr>
    </w:lvl>
    <w:lvl w:ilvl="8">
      <w:start w:val="0"/>
      <w:numFmt w:val="bullet"/>
      <w:lvlText w:val=""/>
      <w:lvlJc w:val="start"/>
      <w:pPr>
        <w:tabs>
          <w:tab w:val="num" w:pos="0"/>
        </w:tabs>
        <w:ind w:start="8640" w:hanging="431"/>
      </w:pPr>
      <w:rPr>
        <w:rFonts w:ascii="Symbol" w:hAnsi="Symbol" w:cs="Symbol" w:hint="default"/>
      </w:rPr>
    </w:lvl>
  </w:abstractNum>
  <w:abstractNum w:abstractNumId="20">
    <w:lvl w:ilvl="0">
      <w:start w:val="1"/>
      <w:numFmt w:val="lowerLetter"/>
      <w:lvlText w:val="%1)"/>
      <w:lvlJc w:val="start"/>
      <w:pPr>
        <w:tabs>
          <w:tab w:val="num" w:pos="0"/>
        </w:tabs>
        <w:ind w:start="493" w:hanging="262"/>
      </w:pPr>
      <w:rPr>
        <w:rFonts w:ascii="Arial" w:hAnsi="Arial" w:eastAsia="Arial" w:cs="Arial"/>
        <w:b/>
        <w:bCs/>
        <w:sz w:val="22"/>
        <w:szCs w:val="22"/>
      </w:rPr>
    </w:lvl>
    <w:lvl w:ilvl="1">
      <w:start w:val="0"/>
      <w:numFmt w:val="bullet"/>
      <w:lvlText w:val=""/>
      <w:lvlJc w:val="start"/>
      <w:pPr>
        <w:tabs>
          <w:tab w:val="num" w:pos="0"/>
        </w:tabs>
        <w:ind w:start="1524" w:hanging="262"/>
      </w:pPr>
      <w:rPr>
        <w:rFonts w:ascii="Symbol" w:hAnsi="Symbol" w:cs="Symbol" w:hint="default"/>
      </w:rPr>
    </w:lvl>
    <w:lvl w:ilvl="2">
      <w:start w:val="0"/>
      <w:numFmt w:val="bullet"/>
      <w:lvlText w:val=""/>
      <w:lvlJc w:val="start"/>
      <w:pPr>
        <w:tabs>
          <w:tab w:val="num" w:pos="0"/>
        </w:tabs>
        <w:ind w:start="2548" w:hanging="262"/>
      </w:pPr>
      <w:rPr>
        <w:rFonts w:ascii="Symbol" w:hAnsi="Symbol" w:cs="Symbol" w:hint="default"/>
      </w:rPr>
    </w:lvl>
    <w:lvl w:ilvl="3">
      <w:start w:val="0"/>
      <w:numFmt w:val="bullet"/>
      <w:lvlText w:val=""/>
      <w:lvlJc w:val="start"/>
      <w:pPr>
        <w:tabs>
          <w:tab w:val="num" w:pos="0"/>
        </w:tabs>
        <w:ind w:start="3572" w:hanging="262"/>
      </w:pPr>
      <w:rPr>
        <w:rFonts w:ascii="Symbol" w:hAnsi="Symbol" w:cs="Symbol" w:hint="default"/>
      </w:rPr>
    </w:lvl>
    <w:lvl w:ilvl="4">
      <w:start w:val="0"/>
      <w:numFmt w:val="bullet"/>
      <w:lvlText w:val=""/>
      <w:lvlJc w:val="start"/>
      <w:pPr>
        <w:tabs>
          <w:tab w:val="num" w:pos="0"/>
        </w:tabs>
        <w:ind w:start="4596" w:hanging="262"/>
      </w:pPr>
      <w:rPr>
        <w:rFonts w:ascii="Symbol" w:hAnsi="Symbol" w:cs="Symbol" w:hint="default"/>
      </w:rPr>
    </w:lvl>
    <w:lvl w:ilvl="5">
      <w:start w:val="0"/>
      <w:numFmt w:val="bullet"/>
      <w:lvlText w:val=""/>
      <w:lvlJc w:val="start"/>
      <w:pPr>
        <w:tabs>
          <w:tab w:val="num" w:pos="0"/>
        </w:tabs>
        <w:ind w:start="5620" w:hanging="262"/>
      </w:pPr>
      <w:rPr>
        <w:rFonts w:ascii="Symbol" w:hAnsi="Symbol" w:cs="Symbol" w:hint="default"/>
      </w:rPr>
    </w:lvl>
    <w:lvl w:ilvl="6">
      <w:start w:val="0"/>
      <w:numFmt w:val="bullet"/>
      <w:lvlText w:val=""/>
      <w:lvlJc w:val="start"/>
      <w:pPr>
        <w:tabs>
          <w:tab w:val="num" w:pos="0"/>
        </w:tabs>
        <w:ind w:start="6644" w:hanging="262"/>
      </w:pPr>
      <w:rPr>
        <w:rFonts w:ascii="Symbol" w:hAnsi="Symbol" w:cs="Symbol" w:hint="default"/>
      </w:rPr>
    </w:lvl>
    <w:lvl w:ilvl="7">
      <w:start w:val="0"/>
      <w:numFmt w:val="bullet"/>
      <w:lvlText w:val=""/>
      <w:lvlJc w:val="start"/>
      <w:pPr>
        <w:tabs>
          <w:tab w:val="num" w:pos="0"/>
        </w:tabs>
        <w:ind w:start="7668" w:hanging="262"/>
      </w:pPr>
      <w:rPr>
        <w:rFonts w:ascii="Symbol" w:hAnsi="Symbol" w:cs="Symbol" w:hint="default"/>
      </w:rPr>
    </w:lvl>
    <w:lvl w:ilvl="8">
      <w:start w:val="0"/>
      <w:numFmt w:val="bullet"/>
      <w:lvlText w:val=""/>
      <w:lvlJc w:val="start"/>
      <w:pPr>
        <w:tabs>
          <w:tab w:val="num" w:pos="0"/>
        </w:tabs>
        <w:ind w:start="8692" w:hanging="262"/>
      </w:pPr>
      <w:rPr>
        <w:rFonts w:ascii="Symbol" w:hAnsi="Symbol" w:cs="Symbol" w:hint="default"/>
      </w:rPr>
    </w:lvl>
  </w:abstractNum>
  <w:abstractNum w:abstractNumId="21">
    <w:lvl w:ilvl="0">
      <w:start w:val="1"/>
      <w:numFmt w:val="lowerLetter"/>
      <w:lvlText w:val="%1)"/>
      <w:lvlJc w:val="start"/>
      <w:pPr>
        <w:tabs>
          <w:tab w:val="num" w:pos="0"/>
        </w:tabs>
        <w:ind w:start="232" w:hanging="284"/>
      </w:pPr>
      <w:rPr>
        <w:rFonts w:ascii="Arial" w:hAnsi="Arial" w:eastAsia="Arial" w:cs="Arial"/>
        <w:b/>
        <w:bCs/>
        <w:sz w:val="22"/>
        <w:szCs w:val="22"/>
      </w:rPr>
    </w:lvl>
    <w:lvl w:ilvl="1">
      <w:start w:val="0"/>
      <w:numFmt w:val="decimal"/>
      <w:lvlText w:val=""/>
      <w:lvlJc w:val="start"/>
      <w:pPr>
        <w:tabs>
          <w:tab w:val="num" w:pos="0"/>
        </w:tabs>
        <w:ind w:start="0" w:hanging="0"/>
      </w:pPr>
      <w:rPr/>
    </w:lvl>
    <w:lvl w:ilvl="2">
      <w:start w:val="0"/>
      <w:numFmt w:val="bullet"/>
      <w:lvlText w:val=""/>
      <w:lvlJc w:val="start"/>
      <w:pPr>
        <w:tabs>
          <w:tab w:val="num" w:pos="0"/>
        </w:tabs>
        <w:ind w:start="2224" w:hanging="446"/>
      </w:pPr>
      <w:rPr>
        <w:rFonts w:ascii="Symbol" w:hAnsi="Symbol" w:cs="Symbol" w:hint="default"/>
      </w:rPr>
    </w:lvl>
    <w:lvl w:ilvl="3">
      <w:start w:val="0"/>
      <w:numFmt w:val="bullet"/>
      <w:lvlText w:val=""/>
      <w:lvlJc w:val="start"/>
      <w:pPr>
        <w:tabs>
          <w:tab w:val="num" w:pos="0"/>
        </w:tabs>
        <w:ind w:start="3288" w:hanging="446"/>
      </w:pPr>
      <w:rPr>
        <w:rFonts w:ascii="Symbol" w:hAnsi="Symbol" w:cs="Symbol" w:hint="default"/>
      </w:rPr>
    </w:lvl>
    <w:lvl w:ilvl="4">
      <w:start w:val="0"/>
      <w:numFmt w:val="bullet"/>
      <w:lvlText w:val=""/>
      <w:lvlJc w:val="start"/>
      <w:pPr>
        <w:tabs>
          <w:tab w:val="num" w:pos="0"/>
        </w:tabs>
        <w:ind w:start="4353" w:hanging="446"/>
      </w:pPr>
      <w:rPr>
        <w:rFonts w:ascii="Symbol" w:hAnsi="Symbol" w:cs="Symbol" w:hint="default"/>
      </w:rPr>
    </w:lvl>
    <w:lvl w:ilvl="5">
      <w:start w:val="0"/>
      <w:numFmt w:val="bullet"/>
      <w:lvlText w:val=""/>
      <w:lvlJc w:val="start"/>
      <w:pPr>
        <w:tabs>
          <w:tab w:val="num" w:pos="0"/>
        </w:tabs>
        <w:ind w:start="5417" w:hanging="446"/>
      </w:pPr>
      <w:rPr>
        <w:rFonts w:ascii="Symbol" w:hAnsi="Symbol" w:cs="Symbol" w:hint="default"/>
      </w:rPr>
    </w:lvl>
    <w:lvl w:ilvl="6">
      <w:start w:val="0"/>
      <w:numFmt w:val="bullet"/>
      <w:lvlText w:val=""/>
      <w:lvlJc w:val="start"/>
      <w:pPr>
        <w:tabs>
          <w:tab w:val="num" w:pos="0"/>
        </w:tabs>
        <w:ind w:start="6482" w:hanging="446"/>
      </w:pPr>
      <w:rPr>
        <w:rFonts w:ascii="Symbol" w:hAnsi="Symbol" w:cs="Symbol" w:hint="default"/>
      </w:rPr>
    </w:lvl>
    <w:lvl w:ilvl="7">
      <w:start w:val="0"/>
      <w:numFmt w:val="bullet"/>
      <w:lvlText w:val=""/>
      <w:lvlJc w:val="start"/>
      <w:pPr>
        <w:tabs>
          <w:tab w:val="num" w:pos="0"/>
        </w:tabs>
        <w:ind w:start="7546" w:hanging="446"/>
      </w:pPr>
      <w:rPr>
        <w:rFonts w:ascii="Symbol" w:hAnsi="Symbol" w:cs="Symbol" w:hint="default"/>
      </w:rPr>
    </w:lvl>
    <w:lvl w:ilvl="8">
      <w:start w:val="0"/>
      <w:numFmt w:val="bullet"/>
      <w:lvlText w:val=""/>
      <w:lvlJc w:val="start"/>
      <w:pPr>
        <w:tabs>
          <w:tab w:val="num" w:pos="0"/>
        </w:tabs>
        <w:ind w:start="8611" w:hanging="446"/>
      </w:pPr>
      <w:rPr>
        <w:rFonts w:ascii="Symbol" w:hAnsi="Symbol" w:cs="Symbol" w:hint="default"/>
      </w:rPr>
    </w:lvl>
  </w:abstractNum>
  <w:abstractNum w:abstractNumId="22">
    <w:lvl w:ilvl="0">
      <w:start w:val="9"/>
      <w:numFmt w:val="decimal"/>
      <w:lvlText w:val="%1"/>
      <w:lvlJc w:val="start"/>
      <w:pPr>
        <w:tabs>
          <w:tab w:val="num" w:pos="0"/>
        </w:tabs>
        <w:ind w:start="232" w:hanging="390"/>
      </w:pPr>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bullet"/>
      <w:lvlText w:val=""/>
      <w:lvlJc w:val="start"/>
      <w:pPr>
        <w:tabs>
          <w:tab w:val="num" w:pos="0"/>
        </w:tabs>
        <w:ind w:start="3390" w:hanging="757"/>
      </w:pPr>
      <w:rPr>
        <w:rFonts w:ascii="Symbol" w:hAnsi="Symbol" w:cs="Symbol" w:hint="default"/>
      </w:rPr>
    </w:lvl>
    <w:lvl w:ilvl="4">
      <w:start w:val="0"/>
      <w:numFmt w:val="bullet"/>
      <w:lvlText w:val=""/>
      <w:lvlJc w:val="start"/>
      <w:pPr>
        <w:tabs>
          <w:tab w:val="num" w:pos="0"/>
        </w:tabs>
        <w:ind w:start="4440" w:hanging="757"/>
      </w:pPr>
      <w:rPr>
        <w:rFonts w:ascii="Symbol" w:hAnsi="Symbol" w:cs="Symbol" w:hint="default"/>
      </w:rPr>
    </w:lvl>
    <w:lvl w:ilvl="5">
      <w:start w:val="0"/>
      <w:numFmt w:val="bullet"/>
      <w:lvlText w:val=""/>
      <w:lvlJc w:val="start"/>
      <w:pPr>
        <w:tabs>
          <w:tab w:val="num" w:pos="0"/>
        </w:tabs>
        <w:ind w:start="5490" w:hanging="757"/>
      </w:pPr>
      <w:rPr>
        <w:rFonts w:ascii="Symbol" w:hAnsi="Symbol" w:cs="Symbol" w:hint="default"/>
      </w:rPr>
    </w:lvl>
    <w:lvl w:ilvl="6">
      <w:start w:val="0"/>
      <w:numFmt w:val="bullet"/>
      <w:lvlText w:val=""/>
      <w:lvlJc w:val="start"/>
      <w:pPr>
        <w:tabs>
          <w:tab w:val="num" w:pos="0"/>
        </w:tabs>
        <w:ind w:start="6540" w:hanging="757"/>
      </w:pPr>
      <w:rPr>
        <w:rFonts w:ascii="Symbol" w:hAnsi="Symbol" w:cs="Symbol" w:hint="default"/>
      </w:rPr>
    </w:lvl>
    <w:lvl w:ilvl="7">
      <w:start w:val="0"/>
      <w:numFmt w:val="bullet"/>
      <w:lvlText w:val=""/>
      <w:lvlJc w:val="start"/>
      <w:pPr>
        <w:tabs>
          <w:tab w:val="num" w:pos="0"/>
        </w:tabs>
        <w:ind w:start="7590" w:hanging="757"/>
      </w:pPr>
      <w:rPr>
        <w:rFonts w:ascii="Symbol" w:hAnsi="Symbol" w:cs="Symbol" w:hint="default"/>
      </w:rPr>
    </w:lvl>
    <w:lvl w:ilvl="8">
      <w:start w:val="0"/>
      <w:numFmt w:val="bullet"/>
      <w:lvlText w:val=""/>
      <w:lvlJc w:val="start"/>
      <w:pPr>
        <w:tabs>
          <w:tab w:val="num" w:pos="0"/>
        </w:tabs>
        <w:ind w:start="8640" w:hanging="757"/>
      </w:pPr>
      <w:rPr>
        <w:rFonts w:ascii="Symbol" w:hAnsi="Symbol" w:cs="Symbol" w:hint="default"/>
      </w:rPr>
    </w:lvl>
  </w:abstractNum>
  <w:abstractNum w:abstractNumId="23">
    <w:lvl w:ilvl="0">
      <w:start w:val="1"/>
      <w:numFmt w:val="decimal"/>
      <w:lvlText w:val="%1"/>
      <w:lvlJc w:val="start"/>
      <w:pPr>
        <w:tabs>
          <w:tab w:val="num" w:pos="0"/>
        </w:tabs>
        <w:ind w:start="232" w:hanging="369"/>
      </w:pPr>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bullet"/>
      <w:lvlText w:val=""/>
      <w:lvlJc w:val="start"/>
      <w:pPr>
        <w:tabs>
          <w:tab w:val="num" w:pos="0"/>
        </w:tabs>
        <w:ind w:start="2993" w:hanging="553"/>
      </w:pPr>
      <w:rPr>
        <w:rFonts w:ascii="Symbol" w:hAnsi="Symbol" w:cs="Symbol" w:hint="default"/>
      </w:rPr>
    </w:lvl>
    <w:lvl w:ilvl="4">
      <w:start w:val="0"/>
      <w:numFmt w:val="bullet"/>
      <w:lvlText w:val=""/>
      <w:lvlJc w:val="start"/>
      <w:pPr>
        <w:tabs>
          <w:tab w:val="num" w:pos="0"/>
        </w:tabs>
        <w:ind w:start="4100" w:hanging="553"/>
      </w:pPr>
      <w:rPr>
        <w:rFonts w:ascii="Symbol" w:hAnsi="Symbol" w:cs="Symbol" w:hint="default"/>
      </w:rPr>
    </w:lvl>
    <w:lvl w:ilvl="5">
      <w:start w:val="0"/>
      <w:numFmt w:val="bullet"/>
      <w:lvlText w:val=""/>
      <w:lvlJc w:val="start"/>
      <w:pPr>
        <w:tabs>
          <w:tab w:val="num" w:pos="0"/>
        </w:tabs>
        <w:ind w:start="5206" w:hanging="553"/>
      </w:pPr>
      <w:rPr>
        <w:rFonts w:ascii="Symbol" w:hAnsi="Symbol" w:cs="Symbol" w:hint="default"/>
      </w:rPr>
    </w:lvl>
    <w:lvl w:ilvl="6">
      <w:start w:val="0"/>
      <w:numFmt w:val="bullet"/>
      <w:lvlText w:val=""/>
      <w:lvlJc w:val="start"/>
      <w:pPr>
        <w:tabs>
          <w:tab w:val="num" w:pos="0"/>
        </w:tabs>
        <w:ind w:start="6313" w:hanging="553"/>
      </w:pPr>
      <w:rPr>
        <w:rFonts w:ascii="Symbol" w:hAnsi="Symbol" w:cs="Symbol" w:hint="default"/>
      </w:rPr>
    </w:lvl>
    <w:lvl w:ilvl="7">
      <w:start w:val="0"/>
      <w:numFmt w:val="bullet"/>
      <w:lvlText w:val=""/>
      <w:lvlJc w:val="start"/>
      <w:pPr>
        <w:tabs>
          <w:tab w:val="num" w:pos="0"/>
        </w:tabs>
        <w:ind w:start="7420" w:hanging="553"/>
      </w:pPr>
      <w:rPr>
        <w:rFonts w:ascii="Symbol" w:hAnsi="Symbol" w:cs="Symbol" w:hint="default"/>
      </w:rPr>
    </w:lvl>
    <w:lvl w:ilvl="8">
      <w:start w:val="0"/>
      <w:numFmt w:val="bullet"/>
      <w:lvlText w:val=""/>
      <w:lvlJc w:val="start"/>
      <w:pPr>
        <w:tabs>
          <w:tab w:val="num" w:pos="0"/>
        </w:tabs>
        <w:ind w:start="8526" w:hanging="553"/>
      </w:pPr>
      <w:rPr>
        <w:rFonts w:ascii="Symbol" w:hAnsi="Symbol" w:cs="Symbol" w:hint="default"/>
      </w:rPr>
    </w:lvl>
  </w:abstractNum>
  <w:abstractNum w:abstractNumId="24">
    <w:lvl w:ilvl="0">
      <w:start w:val="1"/>
      <w:numFmt w:val="lowerLetter"/>
      <w:lvlText w:val="%1)"/>
      <w:lvlJc w:val="start"/>
      <w:pPr>
        <w:tabs>
          <w:tab w:val="num" w:pos="0"/>
        </w:tabs>
        <w:ind w:start="232" w:hanging="287"/>
      </w:pPr>
      <w:rPr>
        <w:rFonts w:ascii="Arial" w:hAnsi="Arial" w:eastAsia="Arial" w:cs="Arial"/>
        <w:b/>
        <w:bCs/>
        <w:sz w:val="22"/>
        <w:szCs w:val="22"/>
      </w:rPr>
    </w:lvl>
    <w:lvl w:ilvl="1">
      <w:start w:val="0"/>
      <w:numFmt w:val="decimal"/>
      <w:lvlText w:val=""/>
      <w:lvlJc w:val="start"/>
      <w:pPr>
        <w:tabs>
          <w:tab w:val="num" w:pos="0"/>
        </w:tabs>
        <w:ind w:start="0" w:hanging="0"/>
      </w:pPr>
      <w:rPr/>
    </w:lvl>
    <w:lvl w:ilvl="2">
      <w:start w:val="0"/>
      <w:numFmt w:val="bullet"/>
      <w:lvlText w:val=""/>
      <w:lvlJc w:val="start"/>
      <w:pPr>
        <w:tabs>
          <w:tab w:val="num" w:pos="0"/>
        </w:tabs>
        <w:ind w:start="2340" w:hanging="461"/>
      </w:pPr>
      <w:rPr>
        <w:rFonts w:ascii="Symbol" w:hAnsi="Symbol" w:cs="Symbol" w:hint="default"/>
      </w:rPr>
    </w:lvl>
    <w:lvl w:ilvl="3">
      <w:start w:val="0"/>
      <w:numFmt w:val="bullet"/>
      <w:lvlText w:val=""/>
      <w:lvlJc w:val="start"/>
      <w:pPr>
        <w:tabs>
          <w:tab w:val="num" w:pos="0"/>
        </w:tabs>
        <w:ind w:start="3390" w:hanging="461"/>
      </w:pPr>
      <w:rPr>
        <w:rFonts w:ascii="Symbol" w:hAnsi="Symbol" w:cs="Symbol" w:hint="default"/>
      </w:rPr>
    </w:lvl>
    <w:lvl w:ilvl="4">
      <w:start w:val="0"/>
      <w:numFmt w:val="bullet"/>
      <w:lvlText w:val=""/>
      <w:lvlJc w:val="start"/>
      <w:pPr>
        <w:tabs>
          <w:tab w:val="num" w:pos="0"/>
        </w:tabs>
        <w:ind w:start="4440" w:hanging="461"/>
      </w:pPr>
      <w:rPr>
        <w:rFonts w:ascii="Symbol" w:hAnsi="Symbol" w:cs="Symbol" w:hint="default"/>
      </w:rPr>
    </w:lvl>
    <w:lvl w:ilvl="5">
      <w:start w:val="0"/>
      <w:numFmt w:val="bullet"/>
      <w:lvlText w:val=""/>
      <w:lvlJc w:val="start"/>
      <w:pPr>
        <w:tabs>
          <w:tab w:val="num" w:pos="0"/>
        </w:tabs>
        <w:ind w:start="5490" w:hanging="461"/>
      </w:pPr>
      <w:rPr>
        <w:rFonts w:ascii="Symbol" w:hAnsi="Symbol" w:cs="Symbol" w:hint="default"/>
      </w:rPr>
    </w:lvl>
    <w:lvl w:ilvl="6">
      <w:start w:val="0"/>
      <w:numFmt w:val="bullet"/>
      <w:lvlText w:val=""/>
      <w:lvlJc w:val="start"/>
      <w:pPr>
        <w:tabs>
          <w:tab w:val="num" w:pos="0"/>
        </w:tabs>
        <w:ind w:start="6540" w:hanging="461"/>
      </w:pPr>
      <w:rPr>
        <w:rFonts w:ascii="Symbol" w:hAnsi="Symbol" w:cs="Symbol" w:hint="default"/>
      </w:rPr>
    </w:lvl>
    <w:lvl w:ilvl="7">
      <w:start w:val="0"/>
      <w:numFmt w:val="bullet"/>
      <w:lvlText w:val=""/>
      <w:lvlJc w:val="start"/>
      <w:pPr>
        <w:tabs>
          <w:tab w:val="num" w:pos="0"/>
        </w:tabs>
        <w:ind w:start="7590" w:hanging="461"/>
      </w:pPr>
      <w:rPr>
        <w:rFonts w:ascii="Symbol" w:hAnsi="Symbol" w:cs="Symbol" w:hint="default"/>
      </w:rPr>
    </w:lvl>
    <w:lvl w:ilvl="8">
      <w:start w:val="0"/>
      <w:numFmt w:val="bullet"/>
      <w:lvlText w:val=""/>
      <w:lvlJc w:val="start"/>
      <w:pPr>
        <w:tabs>
          <w:tab w:val="num" w:pos="0"/>
        </w:tabs>
        <w:ind w:start="8640" w:hanging="461"/>
      </w:pPr>
      <w:rPr>
        <w:rFonts w:ascii="Symbol" w:hAnsi="Symbol" w:cs="Symbol" w:hint="default"/>
      </w:rPr>
    </w:lvl>
  </w:abstractNum>
  <w:abstractNum w:abstractNumId="25">
    <w:lvl w:ilvl="0">
      <w:start w:val="1"/>
      <w:numFmt w:val="decimal"/>
      <w:lvlText w:val="%1"/>
      <w:lvlJc w:val="start"/>
      <w:pPr>
        <w:tabs>
          <w:tab w:val="num" w:pos="0"/>
        </w:tabs>
        <w:ind w:start="416" w:hanging="185"/>
      </w:pPr>
      <w:rPr>
        <w:rFonts w:ascii="Arial" w:hAnsi="Arial" w:eastAsia="Arial" w:cs="Arial"/>
        <w:b/>
        <w:bCs/>
        <w:sz w:val="22"/>
        <w:szCs w:val="22"/>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bullet"/>
      <w:lvlText w:val=""/>
      <w:lvlJc w:val="start"/>
      <w:pPr>
        <w:tabs>
          <w:tab w:val="num" w:pos="0"/>
        </w:tabs>
        <w:ind w:start="780" w:hanging="876"/>
      </w:pPr>
      <w:rPr>
        <w:rFonts w:ascii="Symbol" w:hAnsi="Symbol" w:cs="Symbol" w:hint="default"/>
      </w:rPr>
    </w:lvl>
    <w:lvl w:ilvl="5">
      <w:start w:val="0"/>
      <w:numFmt w:val="bullet"/>
      <w:lvlText w:val=""/>
      <w:lvlJc w:val="start"/>
      <w:pPr>
        <w:tabs>
          <w:tab w:val="num" w:pos="0"/>
        </w:tabs>
        <w:ind w:start="2440" w:hanging="876"/>
      </w:pPr>
      <w:rPr>
        <w:rFonts w:ascii="Symbol" w:hAnsi="Symbol" w:cs="Symbol" w:hint="default"/>
      </w:rPr>
    </w:lvl>
    <w:lvl w:ilvl="6">
      <w:start w:val="0"/>
      <w:numFmt w:val="bullet"/>
      <w:lvlText w:val=""/>
      <w:lvlJc w:val="start"/>
      <w:pPr>
        <w:tabs>
          <w:tab w:val="num" w:pos="0"/>
        </w:tabs>
        <w:ind w:start="4100" w:hanging="876"/>
      </w:pPr>
      <w:rPr>
        <w:rFonts w:ascii="Symbol" w:hAnsi="Symbol" w:cs="Symbol" w:hint="default"/>
      </w:rPr>
    </w:lvl>
    <w:lvl w:ilvl="7">
      <w:start w:val="0"/>
      <w:numFmt w:val="bullet"/>
      <w:lvlText w:val=""/>
      <w:lvlJc w:val="start"/>
      <w:pPr>
        <w:tabs>
          <w:tab w:val="num" w:pos="0"/>
        </w:tabs>
        <w:ind w:start="5760" w:hanging="876"/>
      </w:pPr>
      <w:rPr>
        <w:rFonts w:ascii="Symbol" w:hAnsi="Symbol" w:cs="Symbol" w:hint="default"/>
      </w:rPr>
    </w:lvl>
    <w:lvl w:ilvl="8">
      <w:start w:val="0"/>
      <w:numFmt w:val="bullet"/>
      <w:lvlText w:val=""/>
      <w:lvlJc w:val="start"/>
      <w:pPr>
        <w:tabs>
          <w:tab w:val="num" w:pos="0"/>
        </w:tabs>
        <w:ind w:start="7420" w:hanging="876"/>
      </w:pPr>
      <w:rPr>
        <w:rFonts w:ascii="Symbol" w:hAnsi="Symbol" w:cs="Symbol" w:hint="default"/>
      </w:rPr>
    </w:lvl>
  </w:abstractNum>
  <w:abstractNum w:abstractNumId="26">
    <w:lvl w:ilvl="0">
      <w:start w:val="1"/>
      <w:numFmt w:val="lowerLetter"/>
      <w:lvlText w:val="%1)"/>
      <w:lvlJc w:val="start"/>
      <w:pPr>
        <w:tabs>
          <w:tab w:val="num" w:pos="0"/>
        </w:tabs>
        <w:ind w:start="969" w:hanging="246"/>
      </w:pPr>
      <w:rPr>
        <w:rFonts w:ascii="Arial" w:hAnsi="Arial" w:eastAsia="Arial" w:cs="Arial"/>
        <w:sz w:val="22"/>
        <w:szCs w:val="22"/>
      </w:rPr>
    </w:lvl>
    <w:lvl w:ilvl="1">
      <w:start w:val="0"/>
      <w:numFmt w:val="bullet"/>
      <w:lvlText w:val=""/>
      <w:lvlJc w:val="start"/>
      <w:pPr>
        <w:tabs>
          <w:tab w:val="num" w:pos="0"/>
        </w:tabs>
        <w:ind w:start="1938" w:hanging="246"/>
      </w:pPr>
      <w:rPr>
        <w:rFonts w:ascii="Symbol" w:hAnsi="Symbol" w:cs="Symbol" w:hint="default"/>
      </w:rPr>
    </w:lvl>
    <w:lvl w:ilvl="2">
      <w:start w:val="0"/>
      <w:numFmt w:val="bullet"/>
      <w:lvlText w:val=""/>
      <w:lvlJc w:val="start"/>
      <w:pPr>
        <w:tabs>
          <w:tab w:val="num" w:pos="0"/>
        </w:tabs>
        <w:ind w:start="2916" w:hanging="246"/>
      </w:pPr>
      <w:rPr>
        <w:rFonts w:ascii="Symbol" w:hAnsi="Symbol" w:cs="Symbol" w:hint="default"/>
      </w:rPr>
    </w:lvl>
    <w:lvl w:ilvl="3">
      <w:start w:val="0"/>
      <w:numFmt w:val="bullet"/>
      <w:lvlText w:val=""/>
      <w:lvlJc w:val="start"/>
      <w:pPr>
        <w:tabs>
          <w:tab w:val="num" w:pos="0"/>
        </w:tabs>
        <w:ind w:start="3894" w:hanging="246"/>
      </w:pPr>
      <w:rPr>
        <w:rFonts w:ascii="Symbol" w:hAnsi="Symbol" w:cs="Symbol" w:hint="default"/>
      </w:rPr>
    </w:lvl>
    <w:lvl w:ilvl="4">
      <w:start w:val="0"/>
      <w:numFmt w:val="bullet"/>
      <w:lvlText w:val=""/>
      <w:lvlJc w:val="start"/>
      <w:pPr>
        <w:tabs>
          <w:tab w:val="num" w:pos="0"/>
        </w:tabs>
        <w:ind w:start="4872" w:hanging="246"/>
      </w:pPr>
      <w:rPr>
        <w:rFonts w:ascii="Symbol" w:hAnsi="Symbol" w:cs="Symbol" w:hint="default"/>
      </w:rPr>
    </w:lvl>
    <w:lvl w:ilvl="5">
      <w:start w:val="0"/>
      <w:numFmt w:val="bullet"/>
      <w:lvlText w:val=""/>
      <w:lvlJc w:val="start"/>
      <w:pPr>
        <w:tabs>
          <w:tab w:val="num" w:pos="0"/>
        </w:tabs>
        <w:ind w:start="5850" w:hanging="246"/>
      </w:pPr>
      <w:rPr>
        <w:rFonts w:ascii="Symbol" w:hAnsi="Symbol" w:cs="Symbol" w:hint="default"/>
      </w:rPr>
    </w:lvl>
    <w:lvl w:ilvl="6">
      <w:start w:val="0"/>
      <w:numFmt w:val="bullet"/>
      <w:lvlText w:val=""/>
      <w:lvlJc w:val="start"/>
      <w:pPr>
        <w:tabs>
          <w:tab w:val="num" w:pos="0"/>
        </w:tabs>
        <w:ind w:start="6828" w:hanging="246"/>
      </w:pPr>
      <w:rPr>
        <w:rFonts w:ascii="Symbol" w:hAnsi="Symbol" w:cs="Symbol" w:hint="default"/>
      </w:rPr>
    </w:lvl>
    <w:lvl w:ilvl="7">
      <w:start w:val="0"/>
      <w:numFmt w:val="bullet"/>
      <w:lvlText w:val=""/>
      <w:lvlJc w:val="start"/>
      <w:pPr>
        <w:tabs>
          <w:tab w:val="num" w:pos="0"/>
        </w:tabs>
        <w:ind w:start="7806" w:hanging="246"/>
      </w:pPr>
      <w:rPr>
        <w:rFonts w:ascii="Symbol" w:hAnsi="Symbol" w:cs="Symbol" w:hint="default"/>
      </w:rPr>
    </w:lvl>
    <w:lvl w:ilvl="8">
      <w:start w:val="0"/>
      <w:numFmt w:val="bullet"/>
      <w:lvlText w:val=""/>
      <w:lvlJc w:val="start"/>
      <w:pPr>
        <w:tabs>
          <w:tab w:val="num" w:pos="0"/>
        </w:tabs>
        <w:ind w:start="8784" w:hanging="246"/>
      </w:pPr>
      <w:rPr>
        <w:rFonts w:ascii="Symbol" w:hAnsi="Symbol" w:cs="Symbol" w:hint="default"/>
      </w:rPr>
    </w:lvl>
  </w:abstractNum>
  <w:abstractNum w:abstractNumId="27">
    <w:lvl w:ilvl="0">
      <w:start w:val="1"/>
      <w:numFmt w:val="lowerLetter"/>
      <w:lvlText w:val="%1)"/>
      <w:lvlJc w:val="start"/>
      <w:pPr>
        <w:tabs>
          <w:tab w:val="num" w:pos="0"/>
        </w:tabs>
        <w:ind w:start="493" w:hanging="262"/>
      </w:pPr>
      <w:rPr>
        <w:rFonts w:ascii="Times New Roman" w:hAnsi="Times New Roman" w:eastAsia="Times New Roman" w:cs="Times New Roman"/>
        <w:b w:val="false"/>
        <w:bCs w:val="false"/>
        <w:sz w:val="24"/>
        <w:szCs w:val="24"/>
      </w:rPr>
    </w:lvl>
    <w:lvl w:ilvl="1">
      <w:start w:val="0"/>
      <w:numFmt w:val="bullet"/>
      <w:lvlText w:val=""/>
      <w:lvlJc w:val="start"/>
      <w:pPr>
        <w:tabs>
          <w:tab w:val="num" w:pos="0"/>
        </w:tabs>
        <w:ind w:start="1524" w:hanging="262"/>
      </w:pPr>
      <w:rPr>
        <w:rFonts w:ascii="Symbol" w:hAnsi="Symbol" w:cs="Symbol" w:hint="default"/>
      </w:rPr>
    </w:lvl>
    <w:lvl w:ilvl="2">
      <w:start w:val="0"/>
      <w:numFmt w:val="bullet"/>
      <w:lvlText w:val=""/>
      <w:lvlJc w:val="start"/>
      <w:pPr>
        <w:tabs>
          <w:tab w:val="num" w:pos="0"/>
        </w:tabs>
        <w:ind w:start="2548" w:hanging="262"/>
      </w:pPr>
      <w:rPr>
        <w:rFonts w:ascii="Symbol" w:hAnsi="Symbol" w:cs="Symbol" w:hint="default"/>
      </w:rPr>
    </w:lvl>
    <w:lvl w:ilvl="3">
      <w:start w:val="0"/>
      <w:numFmt w:val="bullet"/>
      <w:lvlText w:val=""/>
      <w:lvlJc w:val="start"/>
      <w:pPr>
        <w:tabs>
          <w:tab w:val="num" w:pos="0"/>
        </w:tabs>
        <w:ind w:start="3572" w:hanging="262"/>
      </w:pPr>
      <w:rPr>
        <w:rFonts w:ascii="Symbol" w:hAnsi="Symbol" w:cs="Symbol" w:hint="default"/>
      </w:rPr>
    </w:lvl>
    <w:lvl w:ilvl="4">
      <w:start w:val="0"/>
      <w:numFmt w:val="bullet"/>
      <w:lvlText w:val=""/>
      <w:lvlJc w:val="start"/>
      <w:pPr>
        <w:tabs>
          <w:tab w:val="num" w:pos="0"/>
        </w:tabs>
        <w:ind w:start="4596" w:hanging="262"/>
      </w:pPr>
      <w:rPr>
        <w:rFonts w:ascii="Symbol" w:hAnsi="Symbol" w:cs="Symbol" w:hint="default"/>
      </w:rPr>
    </w:lvl>
    <w:lvl w:ilvl="5">
      <w:start w:val="0"/>
      <w:numFmt w:val="bullet"/>
      <w:lvlText w:val=""/>
      <w:lvlJc w:val="start"/>
      <w:pPr>
        <w:tabs>
          <w:tab w:val="num" w:pos="0"/>
        </w:tabs>
        <w:ind w:start="5620" w:hanging="262"/>
      </w:pPr>
      <w:rPr>
        <w:rFonts w:ascii="Symbol" w:hAnsi="Symbol" w:cs="Symbol" w:hint="default"/>
      </w:rPr>
    </w:lvl>
    <w:lvl w:ilvl="6">
      <w:start w:val="0"/>
      <w:numFmt w:val="bullet"/>
      <w:lvlText w:val=""/>
      <w:lvlJc w:val="start"/>
      <w:pPr>
        <w:tabs>
          <w:tab w:val="num" w:pos="0"/>
        </w:tabs>
        <w:ind w:start="6644" w:hanging="262"/>
      </w:pPr>
      <w:rPr>
        <w:rFonts w:ascii="Symbol" w:hAnsi="Symbol" w:cs="Symbol" w:hint="default"/>
      </w:rPr>
    </w:lvl>
    <w:lvl w:ilvl="7">
      <w:start w:val="0"/>
      <w:numFmt w:val="bullet"/>
      <w:lvlText w:val=""/>
      <w:lvlJc w:val="start"/>
      <w:pPr>
        <w:tabs>
          <w:tab w:val="num" w:pos="0"/>
        </w:tabs>
        <w:ind w:start="7668" w:hanging="262"/>
      </w:pPr>
      <w:rPr>
        <w:rFonts w:ascii="Symbol" w:hAnsi="Symbol" w:cs="Symbol" w:hint="default"/>
      </w:rPr>
    </w:lvl>
    <w:lvl w:ilvl="8">
      <w:start w:val="0"/>
      <w:numFmt w:val="bullet"/>
      <w:lvlText w:val=""/>
      <w:lvlJc w:val="start"/>
      <w:pPr>
        <w:tabs>
          <w:tab w:val="num" w:pos="0"/>
        </w:tabs>
        <w:ind w:start="8692" w:hanging="262"/>
      </w:pPr>
      <w:rPr>
        <w:rFonts w:ascii="Symbol" w:hAnsi="Symbol" w:cs="Symbol" w:hint="default"/>
      </w:rPr>
    </w:lvl>
  </w:abstractNum>
  <w:abstractNum w:abstractNumId="28">
    <w:lvl w:ilvl="0">
      <w:start w:val="1"/>
      <w:numFmt w:val="decimal"/>
      <w:lvlText w:val=""/>
      <w:lvlJc w:val="start"/>
      <w:pPr>
        <w:tabs>
          <w:tab w:val="num" w:pos="0"/>
        </w:tabs>
        <w:ind w:start="0" w:hanging="0"/>
      </w:pPr>
      <w:rPr/>
    </w:lvl>
    <w:lvl w:ilvl="1">
      <w:start w:val="1"/>
      <w:numFmt w:val="decimal"/>
      <w:lvlText w:val=""/>
      <w:lvlJc w:val="start"/>
      <w:pPr>
        <w:tabs>
          <w:tab w:val="num" w:pos="0"/>
        </w:tabs>
        <w:ind w:start="0" w:hanging="0"/>
      </w:pPr>
      <w:rPr/>
    </w:lvl>
    <w:lvl w:ilvl="2">
      <w:start w:val="1"/>
      <w:numFmt w:val="decimal"/>
      <w:lvlText w:val=""/>
      <w:lvlJc w:val="start"/>
      <w:pPr>
        <w:tabs>
          <w:tab w:val="num" w:pos="0"/>
        </w:tabs>
        <w:ind w:start="0" w:hanging="0"/>
      </w:pPr>
      <w:rPr/>
    </w:lvl>
    <w:lvl w:ilvl="3">
      <w:start w:val="1"/>
      <w:numFmt w:val="decimal"/>
      <w:lvlText w:val=""/>
      <w:lvlJc w:val="start"/>
      <w:pPr>
        <w:tabs>
          <w:tab w:val="num" w:pos="0"/>
        </w:tabs>
        <w:ind w:start="864" w:hanging="864"/>
      </w:pPr>
      <w:rPr/>
    </w:lvl>
    <w:lvl w:ilvl="4">
      <w:start w:val="1"/>
      <w:numFmt w:val="decimal"/>
      <w:lvlText w:val=""/>
      <w:lvlJc w:val="start"/>
      <w:pPr>
        <w:tabs>
          <w:tab w:val="num" w:pos="0"/>
        </w:tabs>
        <w:ind w:start="1008" w:hanging="1008"/>
      </w:pPr>
      <w:rPr/>
    </w:lvl>
    <w:lvl w:ilvl="5">
      <w:start w:val="1"/>
      <w:numFmt w:val="decimal"/>
      <w:lvlText w:val=""/>
      <w:lvlJc w:val="start"/>
      <w:pPr>
        <w:tabs>
          <w:tab w:val="num" w:pos="0"/>
        </w:tabs>
        <w:ind w:start="0" w:hanging="0"/>
      </w:pPr>
      <w:rPr/>
    </w:lvl>
    <w:lvl w:ilvl="6">
      <w:start w:val="1"/>
      <w:numFmt w:val="decimal"/>
      <w:lvlText w:val=""/>
      <w:lvlJc w:val="start"/>
      <w:pPr>
        <w:tabs>
          <w:tab w:val="num" w:pos="0"/>
        </w:tabs>
        <w:ind w:start="0" w:hanging="0"/>
      </w:pPr>
      <w:rPr/>
    </w:lvl>
    <w:lvl w:ilvl="7">
      <w:start w:val="1"/>
      <w:numFmt w:val="decimal"/>
      <w:lvlText w:val=""/>
      <w:lvlJc w:val="start"/>
      <w:pPr>
        <w:tabs>
          <w:tab w:val="num" w:pos="0"/>
        </w:tabs>
        <w:ind w:start="0" w:hanging="0"/>
      </w:pPr>
      <w:rPr/>
    </w:lvl>
    <w:lvl w:ilvl="8">
      <w:start w:val="1"/>
      <w:numFmt w:val="decimal"/>
      <w:lvlText w:val=""/>
      <w:lvlJc w:val="start"/>
      <w:pPr>
        <w:tabs>
          <w:tab w:val="num" w:pos="0"/>
        </w:tabs>
        <w:ind w:start="0" w:hanging="0"/>
      </w:pPr>
      <w:rPr/>
    </w:lvl>
  </w:abstractNum>
  <w:abstractNum w:abstractNumId="29">
    <w:lvl w:ilvl="0">
      <w:start w:val="7"/>
      <w:numFmt w:val="decimal"/>
      <w:lvlText w:val="%1."/>
      <w:lvlJc w:val="start"/>
      <w:pPr>
        <w:tabs>
          <w:tab w:val="num" w:pos="0"/>
        </w:tabs>
        <w:ind w:start="360" w:hanging="360"/>
      </w:pPr>
      <w:rPr/>
    </w:lvl>
    <w:lvl w:ilvl="1">
      <w:start w:val="1"/>
      <w:numFmt w:val="decimal"/>
      <w:lvlText w:val="%1.%2."/>
      <w:lvlJc w:val="start"/>
      <w:pPr>
        <w:tabs>
          <w:tab w:val="num" w:pos="0"/>
        </w:tabs>
        <w:ind w:start="592" w:hanging="360"/>
      </w:pPr>
      <w:rPr>
        <w:b/>
        <w:bCs/>
      </w:rPr>
    </w:lvl>
    <w:lvl w:ilvl="2">
      <w:start w:val="1"/>
      <w:numFmt w:val="decimal"/>
      <w:lvlText w:val="%1.%2.%3."/>
      <w:lvlJc w:val="start"/>
      <w:pPr>
        <w:tabs>
          <w:tab w:val="num" w:pos="0"/>
        </w:tabs>
        <w:ind w:start="1184" w:hanging="720"/>
      </w:pPr>
      <w:rPr/>
    </w:lvl>
    <w:lvl w:ilvl="3">
      <w:start w:val="1"/>
      <w:numFmt w:val="decimal"/>
      <w:lvlText w:val="%1.%2.%3.%4."/>
      <w:lvlJc w:val="start"/>
      <w:pPr>
        <w:tabs>
          <w:tab w:val="num" w:pos="0"/>
        </w:tabs>
        <w:ind w:start="1416" w:hanging="720"/>
      </w:pPr>
      <w:rPr/>
    </w:lvl>
    <w:lvl w:ilvl="4">
      <w:start w:val="1"/>
      <w:numFmt w:val="decimal"/>
      <w:lvlText w:val="%1.%2.%3.%4.%5."/>
      <w:lvlJc w:val="start"/>
      <w:pPr>
        <w:tabs>
          <w:tab w:val="num" w:pos="0"/>
        </w:tabs>
        <w:ind w:start="2008" w:hanging="1080"/>
      </w:pPr>
      <w:rPr/>
    </w:lvl>
    <w:lvl w:ilvl="5">
      <w:start w:val="1"/>
      <w:numFmt w:val="decimal"/>
      <w:lvlText w:val="%1.%2.%3.%4.%5.%6."/>
      <w:lvlJc w:val="start"/>
      <w:pPr>
        <w:tabs>
          <w:tab w:val="num" w:pos="0"/>
        </w:tabs>
        <w:ind w:start="2240" w:hanging="1080"/>
      </w:pPr>
      <w:rPr/>
    </w:lvl>
    <w:lvl w:ilvl="6">
      <w:start w:val="1"/>
      <w:numFmt w:val="decimal"/>
      <w:lvlText w:val="%1.%2.%3.%4.%5.%6.%7."/>
      <w:lvlJc w:val="start"/>
      <w:pPr>
        <w:tabs>
          <w:tab w:val="num" w:pos="0"/>
        </w:tabs>
        <w:ind w:start="2832" w:hanging="1440"/>
      </w:pPr>
      <w:rPr/>
    </w:lvl>
    <w:lvl w:ilvl="7">
      <w:start w:val="1"/>
      <w:numFmt w:val="decimal"/>
      <w:lvlText w:val="%1.%2.%3.%4.%5.%6.%7.%8."/>
      <w:lvlJc w:val="start"/>
      <w:pPr>
        <w:tabs>
          <w:tab w:val="num" w:pos="0"/>
        </w:tabs>
        <w:ind w:start="3064" w:hanging="1440"/>
      </w:pPr>
      <w:rPr/>
    </w:lvl>
    <w:lvl w:ilvl="8">
      <w:start w:val="1"/>
      <w:numFmt w:val="decimal"/>
      <w:lvlText w:val="%1.%2.%3.%4.%5.%6.%7.%8.%9."/>
      <w:lvlJc w:val="start"/>
      <w:pPr>
        <w:tabs>
          <w:tab w:val="num" w:pos="0"/>
        </w:tabs>
        <w:ind w:start="3656" w:hanging="1800"/>
      </w:pPr>
      <w:rPr/>
    </w:lvl>
  </w:abstractNum>
  <w:abstractNum w:abstractNumId="30">
    <w:lvl w:ilvl="0">
      <w:start w:val="1"/>
      <w:numFmt w:val="bullet"/>
      <w:lvlText w:val=""/>
      <w:lvlJc w:val="start"/>
      <w:pPr>
        <w:tabs>
          <w:tab w:val="num" w:pos="0"/>
        </w:tabs>
        <w:ind w:start="1080" w:hanging="360"/>
      </w:pPr>
      <w:rPr>
        <w:rFonts w:ascii="Wingdings" w:hAnsi="Wingdings" w:cs="Wingdings" w:hint="default"/>
        <w:u w:val="none"/>
      </w:rPr>
    </w:lvl>
    <w:lvl w:ilvl="1">
      <w:start w:val="1"/>
      <w:numFmt w:val="bullet"/>
      <w:lvlText w:val="o"/>
      <w:lvlJc w:val="start"/>
      <w:pPr>
        <w:tabs>
          <w:tab w:val="num" w:pos="0"/>
        </w:tabs>
        <w:ind w:start="1800" w:hanging="360"/>
      </w:pPr>
      <w:rPr>
        <w:rFonts w:ascii="OpenSymbol" w:hAnsi="OpenSymbol" w:cs="OpenSymbol" w:hint="default"/>
        <w:u w:val="none"/>
      </w:rPr>
    </w:lvl>
    <w:lvl w:ilvl="2">
      <w:start w:val="1"/>
      <w:numFmt w:val="bullet"/>
      <w:lvlText w:val="▪"/>
      <w:lvlJc w:val="start"/>
      <w:pPr>
        <w:tabs>
          <w:tab w:val="num" w:pos="0"/>
        </w:tabs>
        <w:ind w:start="2520" w:hanging="360"/>
      </w:pPr>
      <w:rPr>
        <w:rFonts w:ascii="OpenSymbol" w:hAnsi="OpenSymbol" w:cs="OpenSymbol" w:hint="default"/>
        <w:u w:val="none"/>
      </w:rPr>
    </w:lvl>
    <w:lvl w:ilvl="3">
      <w:start w:val="1"/>
      <w:numFmt w:val="bullet"/>
      <w:lvlText w:val=""/>
      <w:lvlJc w:val="start"/>
      <w:pPr>
        <w:tabs>
          <w:tab w:val="num" w:pos="0"/>
        </w:tabs>
        <w:ind w:start="3240" w:hanging="360"/>
      </w:pPr>
      <w:rPr>
        <w:rFonts w:ascii="Wingdings" w:hAnsi="Wingdings" w:cs="Wingdings" w:hint="default"/>
        <w:u w:val="none"/>
      </w:rPr>
    </w:lvl>
    <w:lvl w:ilvl="4">
      <w:start w:val="1"/>
      <w:numFmt w:val="bullet"/>
      <w:lvlText w:val="o"/>
      <w:lvlJc w:val="start"/>
      <w:pPr>
        <w:tabs>
          <w:tab w:val="num" w:pos="0"/>
        </w:tabs>
        <w:ind w:start="3960" w:hanging="360"/>
      </w:pPr>
      <w:rPr>
        <w:rFonts w:ascii="OpenSymbol" w:hAnsi="OpenSymbol" w:cs="OpenSymbol" w:hint="default"/>
        <w:u w:val="none"/>
      </w:rPr>
    </w:lvl>
    <w:lvl w:ilvl="5">
      <w:start w:val="1"/>
      <w:numFmt w:val="bullet"/>
      <w:lvlText w:val="▪"/>
      <w:lvlJc w:val="start"/>
      <w:pPr>
        <w:tabs>
          <w:tab w:val="num" w:pos="0"/>
        </w:tabs>
        <w:ind w:start="4680" w:hanging="360"/>
      </w:pPr>
      <w:rPr>
        <w:rFonts w:ascii="OpenSymbol" w:hAnsi="OpenSymbol" w:cs="OpenSymbol" w:hint="default"/>
        <w:u w:val="none"/>
      </w:rPr>
    </w:lvl>
    <w:lvl w:ilvl="6">
      <w:start w:val="1"/>
      <w:numFmt w:val="bullet"/>
      <w:lvlText w:val=""/>
      <w:lvlJc w:val="start"/>
      <w:pPr>
        <w:tabs>
          <w:tab w:val="num" w:pos="0"/>
        </w:tabs>
        <w:ind w:start="5400" w:hanging="360"/>
      </w:pPr>
      <w:rPr>
        <w:rFonts w:ascii="Wingdings" w:hAnsi="Wingdings" w:cs="Wingdings" w:hint="default"/>
        <w:u w:val="none"/>
      </w:rPr>
    </w:lvl>
    <w:lvl w:ilvl="7">
      <w:start w:val="1"/>
      <w:numFmt w:val="bullet"/>
      <w:lvlText w:val="o"/>
      <w:lvlJc w:val="start"/>
      <w:pPr>
        <w:tabs>
          <w:tab w:val="num" w:pos="0"/>
        </w:tabs>
        <w:ind w:start="6120" w:hanging="360"/>
      </w:pPr>
      <w:rPr>
        <w:rFonts w:ascii="OpenSymbol" w:hAnsi="OpenSymbol" w:cs="OpenSymbol" w:hint="default"/>
        <w:u w:val="none"/>
      </w:rPr>
    </w:lvl>
    <w:lvl w:ilvl="8">
      <w:start w:val="1"/>
      <w:numFmt w:val="bullet"/>
      <w:lvlText w:val="▪"/>
      <w:lvlJc w:val="start"/>
      <w:pPr>
        <w:tabs>
          <w:tab w:val="num" w:pos="0"/>
        </w:tabs>
        <w:ind w:start="6840" w:hanging="360"/>
      </w:pPr>
      <w:rPr>
        <w:rFonts w:ascii="OpenSymbol" w:hAnsi="OpenSymbol" w:cs="OpenSymbol" w:hint="default"/>
        <w:u w:val="none"/>
      </w:rPr>
    </w:lvl>
  </w:abstractNum>
  <w:abstractNum w:abstractNumId="31">
    <w:lvl w:ilvl="0">
      <w:start w:val="5"/>
      <w:numFmt w:val="decimal"/>
      <w:lvlText w:val="%1"/>
      <w:lvlJc w:val="start"/>
      <w:pPr>
        <w:tabs>
          <w:tab w:val="num" w:pos="0"/>
        </w:tabs>
        <w:ind w:start="360" w:hanging="360"/>
      </w:pPr>
      <w:rPr>
        <w:u w:val="none"/>
      </w:rPr>
    </w:lvl>
    <w:lvl w:ilvl="1">
      <w:start w:val="1"/>
      <w:numFmt w:val="decimal"/>
      <w:lvlText w:val="%1.%2"/>
      <w:lvlJc w:val="start"/>
      <w:pPr>
        <w:tabs>
          <w:tab w:val="num" w:pos="0"/>
        </w:tabs>
        <w:ind w:start="720" w:hanging="360"/>
      </w:pPr>
      <w:rPr>
        <w:u w:val="none"/>
      </w:rPr>
    </w:lvl>
    <w:lvl w:ilvl="2">
      <w:start w:val="1"/>
      <w:numFmt w:val="decimal"/>
      <w:lvlText w:val="%1.%2.%3"/>
      <w:lvlJc w:val="start"/>
      <w:pPr>
        <w:tabs>
          <w:tab w:val="num" w:pos="0"/>
        </w:tabs>
        <w:ind w:start="1440" w:hanging="720"/>
      </w:pPr>
      <w:rPr>
        <w:u w:val="none"/>
      </w:rPr>
    </w:lvl>
    <w:lvl w:ilvl="3">
      <w:start w:val="1"/>
      <w:numFmt w:val="decimal"/>
      <w:lvlText w:val="%1.%2.%3.%4"/>
      <w:lvlJc w:val="start"/>
      <w:pPr>
        <w:tabs>
          <w:tab w:val="num" w:pos="0"/>
        </w:tabs>
        <w:ind w:start="2160" w:hanging="1080"/>
      </w:pPr>
      <w:rPr>
        <w:u w:val="none"/>
      </w:rPr>
    </w:lvl>
    <w:lvl w:ilvl="4">
      <w:start w:val="1"/>
      <w:numFmt w:val="decimal"/>
      <w:lvlText w:val="%1.%2.%3.%4.%5"/>
      <w:lvlJc w:val="start"/>
      <w:pPr>
        <w:tabs>
          <w:tab w:val="num" w:pos="0"/>
        </w:tabs>
        <w:ind w:start="2520" w:hanging="1080"/>
      </w:pPr>
      <w:rPr>
        <w:u w:val="none"/>
      </w:rPr>
    </w:lvl>
    <w:lvl w:ilvl="5">
      <w:start w:val="1"/>
      <w:numFmt w:val="decimal"/>
      <w:lvlText w:val="%1.%2.%3.%4.%5.%6"/>
      <w:lvlJc w:val="start"/>
      <w:pPr>
        <w:tabs>
          <w:tab w:val="num" w:pos="0"/>
        </w:tabs>
        <w:ind w:start="3240" w:hanging="1440"/>
      </w:pPr>
      <w:rPr>
        <w:u w:val="none"/>
      </w:rPr>
    </w:lvl>
    <w:lvl w:ilvl="6">
      <w:start w:val="1"/>
      <w:numFmt w:val="decimal"/>
      <w:lvlText w:val="%1.%2.%3.%4.%5.%6.%7"/>
      <w:lvlJc w:val="start"/>
      <w:pPr>
        <w:tabs>
          <w:tab w:val="num" w:pos="0"/>
        </w:tabs>
        <w:ind w:start="3600" w:hanging="1440"/>
      </w:pPr>
      <w:rPr>
        <w:u w:val="none"/>
      </w:rPr>
    </w:lvl>
    <w:lvl w:ilvl="7">
      <w:start w:val="1"/>
      <w:numFmt w:val="decimal"/>
      <w:lvlText w:val="%1.%2.%3.%4.%5.%6.%7.%8"/>
      <w:lvlJc w:val="start"/>
      <w:pPr>
        <w:tabs>
          <w:tab w:val="num" w:pos="0"/>
        </w:tabs>
        <w:ind w:start="4320" w:hanging="1800"/>
      </w:pPr>
      <w:rPr>
        <w:u w:val="none"/>
      </w:rPr>
    </w:lvl>
    <w:lvl w:ilvl="8">
      <w:start w:val="1"/>
      <w:numFmt w:val="decimal"/>
      <w:lvlText w:val="%1.%2.%3.%4.%5.%6.%7.%8.%9"/>
      <w:lvlJc w:val="start"/>
      <w:pPr>
        <w:tabs>
          <w:tab w:val="num" w:pos="0"/>
        </w:tabs>
        <w:ind w:start="4680" w:hanging="1800"/>
      </w:pPr>
      <w:rPr>
        <w:u w:val="none"/>
      </w:rPr>
    </w:lvl>
  </w:abstractNum>
  <w:abstractNum w:abstractNumId="32">
    <w:lvl w:ilvl="0">
      <w:start w:val="1"/>
      <w:numFmt w:val="bullet"/>
      <w:lvlText w:val=""/>
      <w:lvlJc w:val="start"/>
      <w:pPr>
        <w:tabs>
          <w:tab w:val="num" w:pos="0"/>
        </w:tabs>
        <w:ind w:start="168" w:hanging="168"/>
      </w:pPr>
      <w:rPr>
        <w:rFonts w:ascii="Wingdings" w:hAnsi="Wingdings" w:cs="Wingdings" w:hint="default"/>
        <w:u w:val="none"/>
      </w:rPr>
    </w:lvl>
    <w:lvl w:ilvl="1">
      <w:start w:val="0"/>
      <w:numFmt w:val="bullet"/>
      <w:lvlText w:val="◦"/>
      <w:lvlJc w:val="start"/>
      <w:pPr>
        <w:tabs>
          <w:tab w:val="num" w:pos="0"/>
        </w:tabs>
        <w:ind w:start="336" w:hanging="168"/>
      </w:pPr>
      <w:rPr>
        <w:rFonts w:ascii="OpenSymbol" w:hAnsi="OpenSymbol" w:cs="OpenSymbol" w:hint="default"/>
        <w:u w:val="none"/>
      </w:rPr>
    </w:lvl>
    <w:lvl w:ilvl="2">
      <w:start w:val="0"/>
      <w:numFmt w:val="bullet"/>
      <w:lvlText w:val="▪"/>
      <w:lvlJc w:val="start"/>
      <w:pPr>
        <w:tabs>
          <w:tab w:val="num" w:pos="0"/>
        </w:tabs>
        <w:ind w:start="504" w:hanging="168"/>
      </w:pPr>
      <w:rPr>
        <w:rFonts w:ascii="OpenSymbol" w:hAnsi="OpenSymbol" w:cs="OpenSymbol" w:hint="default"/>
        <w:u w:val="none"/>
      </w:rPr>
    </w:lvl>
    <w:lvl w:ilvl="3">
      <w:start w:val="0"/>
      <w:numFmt w:val="bullet"/>
      <w:lvlText w:val=""/>
      <w:lvlJc w:val="start"/>
      <w:pPr>
        <w:tabs>
          <w:tab w:val="num" w:pos="0"/>
        </w:tabs>
        <w:ind w:start="672" w:hanging="168"/>
      </w:pPr>
      <w:rPr>
        <w:rFonts w:ascii="Wingdings" w:hAnsi="Wingdings" w:cs="Wingdings" w:hint="default"/>
        <w:u w:val="none"/>
      </w:rPr>
    </w:lvl>
    <w:lvl w:ilvl="4">
      <w:start w:val="0"/>
      <w:numFmt w:val="bullet"/>
      <w:lvlText w:val="◦"/>
      <w:lvlJc w:val="start"/>
      <w:pPr>
        <w:tabs>
          <w:tab w:val="num" w:pos="0"/>
        </w:tabs>
        <w:ind w:start="840" w:hanging="168"/>
      </w:pPr>
      <w:rPr>
        <w:rFonts w:ascii="OpenSymbol" w:hAnsi="OpenSymbol" w:cs="OpenSymbol" w:hint="default"/>
        <w:u w:val="none"/>
      </w:rPr>
    </w:lvl>
    <w:lvl w:ilvl="5">
      <w:start w:val="0"/>
      <w:numFmt w:val="bullet"/>
      <w:lvlText w:val="▪"/>
      <w:lvlJc w:val="start"/>
      <w:pPr>
        <w:tabs>
          <w:tab w:val="num" w:pos="0"/>
        </w:tabs>
        <w:ind w:start="1008" w:hanging="168"/>
      </w:pPr>
      <w:rPr>
        <w:rFonts w:ascii="OpenSymbol" w:hAnsi="OpenSymbol" w:cs="OpenSymbol" w:hint="default"/>
        <w:u w:val="none"/>
      </w:rPr>
    </w:lvl>
    <w:lvl w:ilvl="6">
      <w:start w:val="0"/>
      <w:numFmt w:val="bullet"/>
      <w:lvlText w:val=""/>
      <w:lvlJc w:val="start"/>
      <w:pPr>
        <w:tabs>
          <w:tab w:val="num" w:pos="0"/>
        </w:tabs>
        <w:ind w:start="1176" w:hanging="168"/>
      </w:pPr>
      <w:rPr>
        <w:rFonts w:ascii="Wingdings" w:hAnsi="Wingdings" w:cs="Wingdings" w:hint="default"/>
        <w:u w:val="none"/>
      </w:rPr>
    </w:lvl>
    <w:lvl w:ilvl="7">
      <w:start w:val="0"/>
      <w:numFmt w:val="bullet"/>
      <w:lvlText w:val="◦"/>
      <w:lvlJc w:val="start"/>
      <w:pPr>
        <w:tabs>
          <w:tab w:val="num" w:pos="0"/>
        </w:tabs>
        <w:ind w:start="1344" w:hanging="168"/>
      </w:pPr>
      <w:rPr>
        <w:rFonts w:ascii="OpenSymbol" w:hAnsi="OpenSymbol" w:cs="OpenSymbol" w:hint="default"/>
        <w:u w:val="none"/>
      </w:rPr>
    </w:lvl>
    <w:lvl w:ilvl="8">
      <w:start w:val="0"/>
      <w:numFmt w:val="bullet"/>
      <w:lvlText w:val="▪"/>
      <w:lvlJc w:val="start"/>
      <w:pPr>
        <w:tabs>
          <w:tab w:val="num" w:pos="0"/>
        </w:tabs>
        <w:ind w:start="1512" w:hanging="168"/>
      </w:pPr>
      <w:rPr>
        <w:rFonts w:ascii="OpenSymbol" w:hAnsi="OpenSymbol" w:cs="OpenSymbol" w:hint="default"/>
        <w:u w:val="none"/>
      </w:rPr>
    </w:lvl>
  </w:abstractNum>
  <w:abstractNum w:abstractNumId="33">
    <w:lvl w:ilvl="0">
      <w:start w:val="1"/>
      <w:numFmt w:val="lowerLetter"/>
      <w:lvlText w:val="%1)"/>
      <w:lvlJc w:val="start"/>
      <w:pPr>
        <w:tabs>
          <w:tab w:val="num" w:pos="0"/>
        </w:tabs>
        <w:ind w:start="720" w:hanging="360"/>
      </w:pPr>
      <w:rPr>
        <w:u w:val="none"/>
      </w:rPr>
    </w:lvl>
    <w:lvl w:ilvl="1">
      <w:start w:val="1"/>
      <w:numFmt w:val="lowerRoman"/>
      <w:lvlText w:val="%2)"/>
      <w:lvlJc w:val="end"/>
      <w:pPr>
        <w:tabs>
          <w:tab w:val="num" w:pos="0"/>
        </w:tabs>
        <w:ind w:start="1440" w:hanging="360"/>
      </w:pPr>
      <w:rPr>
        <w:u w:val="none"/>
      </w:rPr>
    </w:lvl>
    <w:lvl w:ilvl="2">
      <w:start w:val="1"/>
      <w:numFmt w:val="decimal"/>
      <w:lvlText w:val="%3)"/>
      <w:lvlJc w:val="start"/>
      <w:pPr>
        <w:tabs>
          <w:tab w:val="num" w:pos="0"/>
        </w:tabs>
        <w:ind w:start="2160" w:hanging="360"/>
      </w:pPr>
      <w:rPr>
        <w:u w:val="none"/>
      </w:rPr>
    </w:lvl>
    <w:lvl w:ilvl="3">
      <w:start w:val="1"/>
      <w:numFmt w:val="lowerLetter"/>
      <w:lvlText w:val="(%4)"/>
      <w:lvlJc w:val="start"/>
      <w:pPr>
        <w:tabs>
          <w:tab w:val="num" w:pos="0"/>
        </w:tabs>
        <w:ind w:start="2880" w:hanging="360"/>
      </w:pPr>
      <w:rPr>
        <w:u w:val="none"/>
      </w:rPr>
    </w:lvl>
    <w:lvl w:ilvl="4">
      <w:start w:val="1"/>
      <w:numFmt w:val="lowerRoman"/>
      <w:lvlText w:val="(%5)"/>
      <w:lvlJc w:val="end"/>
      <w:pPr>
        <w:tabs>
          <w:tab w:val="num" w:pos="0"/>
        </w:tabs>
        <w:ind w:start="3600" w:hanging="360"/>
      </w:pPr>
      <w:rPr>
        <w:u w:val="none"/>
      </w:rPr>
    </w:lvl>
    <w:lvl w:ilvl="5">
      <w:start w:val="1"/>
      <w:numFmt w:val="decimal"/>
      <w:lvlText w:val="(%6)"/>
      <w:lvlJc w:val="start"/>
      <w:pPr>
        <w:tabs>
          <w:tab w:val="num" w:pos="0"/>
        </w:tabs>
        <w:ind w:start="4320" w:hanging="360"/>
      </w:pPr>
      <w:rPr>
        <w:u w:val="none"/>
      </w:rPr>
    </w:lvl>
    <w:lvl w:ilvl="6">
      <w:start w:val="1"/>
      <w:numFmt w:val="lowerLetter"/>
      <w:lvlText w:val="%7."/>
      <w:lvlJc w:val="start"/>
      <w:pPr>
        <w:tabs>
          <w:tab w:val="num" w:pos="0"/>
        </w:tabs>
        <w:ind w:start="5040" w:hanging="360"/>
      </w:pPr>
      <w:rPr>
        <w:u w:val="none"/>
      </w:rPr>
    </w:lvl>
    <w:lvl w:ilvl="7">
      <w:start w:val="1"/>
      <w:numFmt w:val="lowerRoman"/>
      <w:lvlText w:val="%8."/>
      <w:lvlJc w:val="end"/>
      <w:pPr>
        <w:tabs>
          <w:tab w:val="num" w:pos="0"/>
        </w:tabs>
        <w:ind w:start="5760" w:hanging="360"/>
      </w:pPr>
      <w:rPr>
        <w:u w:val="none"/>
      </w:rPr>
    </w:lvl>
    <w:lvl w:ilvl="8">
      <w:start w:val="1"/>
      <w:numFmt w:val="decimal"/>
      <w:lvlText w:val="%9."/>
      <w:lvlJc w:val="start"/>
      <w:pPr>
        <w:tabs>
          <w:tab w:val="num" w:pos="0"/>
        </w:tabs>
        <w:ind w:start="6480" w:hanging="360"/>
      </w:pPr>
      <w:rPr>
        <w:u w:val="none"/>
      </w:rPr>
    </w:lvl>
  </w:abstractNum>
  <w:abstractNum w:abstractNumId="34">
    <w:lvl w:ilvl="0">
      <w:start w:val="1"/>
      <w:numFmt w:val="lowerLetter"/>
      <w:lvlText w:val="%1)"/>
      <w:lvlJc w:val="start"/>
      <w:pPr>
        <w:tabs>
          <w:tab w:val="num" w:pos="0"/>
        </w:tabs>
        <w:ind w:start="1608" w:hanging="360"/>
      </w:pPr>
      <w:rPr>
        <w:u w:val="none"/>
      </w:rPr>
    </w:lvl>
    <w:lvl w:ilvl="1">
      <w:start w:val="1"/>
      <w:numFmt w:val="lowerLetter"/>
      <w:lvlText w:val="%2."/>
      <w:lvlJc w:val="start"/>
      <w:pPr>
        <w:tabs>
          <w:tab w:val="num" w:pos="0"/>
        </w:tabs>
        <w:ind w:start="2328" w:hanging="360"/>
      </w:pPr>
      <w:rPr>
        <w:u w:val="none"/>
      </w:rPr>
    </w:lvl>
    <w:lvl w:ilvl="2">
      <w:start w:val="1"/>
      <w:numFmt w:val="lowerRoman"/>
      <w:lvlText w:val="%3."/>
      <w:lvlJc w:val="end"/>
      <w:pPr>
        <w:tabs>
          <w:tab w:val="num" w:pos="0"/>
        </w:tabs>
        <w:ind w:start="3048" w:hanging="180"/>
      </w:pPr>
      <w:rPr>
        <w:u w:val="none"/>
      </w:rPr>
    </w:lvl>
    <w:lvl w:ilvl="3">
      <w:start w:val="1"/>
      <w:numFmt w:val="decimal"/>
      <w:lvlText w:val="%4."/>
      <w:lvlJc w:val="start"/>
      <w:pPr>
        <w:tabs>
          <w:tab w:val="num" w:pos="0"/>
        </w:tabs>
        <w:ind w:start="3768" w:hanging="360"/>
      </w:pPr>
      <w:rPr>
        <w:u w:val="none"/>
      </w:rPr>
    </w:lvl>
    <w:lvl w:ilvl="4">
      <w:start w:val="1"/>
      <w:numFmt w:val="lowerLetter"/>
      <w:lvlText w:val="%5."/>
      <w:lvlJc w:val="start"/>
      <w:pPr>
        <w:tabs>
          <w:tab w:val="num" w:pos="0"/>
        </w:tabs>
        <w:ind w:start="4488" w:hanging="360"/>
      </w:pPr>
      <w:rPr>
        <w:u w:val="none"/>
      </w:rPr>
    </w:lvl>
    <w:lvl w:ilvl="5">
      <w:start w:val="1"/>
      <w:numFmt w:val="lowerRoman"/>
      <w:lvlText w:val="%6."/>
      <w:lvlJc w:val="end"/>
      <w:pPr>
        <w:tabs>
          <w:tab w:val="num" w:pos="0"/>
        </w:tabs>
        <w:ind w:start="5208" w:hanging="180"/>
      </w:pPr>
      <w:rPr>
        <w:u w:val="none"/>
      </w:rPr>
    </w:lvl>
    <w:lvl w:ilvl="6">
      <w:start w:val="1"/>
      <w:numFmt w:val="decimal"/>
      <w:lvlText w:val="%7."/>
      <w:lvlJc w:val="start"/>
      <w:pPr>
        <w:tabs>
          <w:tab w:val="num" w:pos="0"/>
        </w:tabs>
        <w:ind w:start="5928" w:hanging="360"/>
      </w:pPr>
      <w:rPr>
        <w:u w:val="none"/>
      </w:rPr>
    </w:lvl>
    <w:lvl w:ilvl="7">
      <w:start w:val="1"/>
      <w:numFmt w:val="lowerLetter"/>
      <w:lvlText w:val="%8."/>
      <w:lvlJc w:val="start"/>
      <w:pPr>
        <w:tabs>
          <w:tab w:val="num" w:pos="0"/>
        </w:tabs>
        <w:ind w:start="6648" w:hanging="360"/>
      </w:pPr>
      <w:rPr>
        <w:u w:val="none"/>
      </w:rPr>
    </w:lvl>
    <w:lvl w:ilvl="8">
      <w:start w:val="1"/>
      <w:numFmt w:val="lowerRoman"/>
      <w:lvlText w:val="%9."/>
      <w:lvlJc w:val="end"/>
      <w:pPr>
        <w:tabs>
          <w:tab w:val="num" w:pos="0"/>
        </w:tabs>
        <w:ind w:start="7368" w:hanging="180"/>
      </w:pPr>
      <w:rPr>
        <w:u w:val="none"/>
      </w:rPr>
    </w:lvl>
  </w:abstractNum>
  <w:abstractNum w:abstractNumId="3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w:zoom w:percent="100"/>
  <w:embedTrueTypeFonts/>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sz w:val="22"/>
        <w:szCs w:val="22"/>
        <w:lang w:val="en-US"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start"/>
    </w:pPr>
    <w:rPr>
      <w:rFonts w:ascii="Times New Roman" w:hAnsi="Times New Roman" w:eastAsia="NSimSun" w:cs="Arial"/>
      <w:color w:val="auto"/>
      <w:kern w:val="0"/>
      <w:sz w:val="22"/>
      <w:szCs w:val="22"/>
      <w:lang w:val="en-US" w:eastAsia="zh-CN" w:bidi="hi-IN"/>
    </w:rPr>
  </w:style>
  <w:style w:type="paragraph" w:styleId="Heading1">
    <w:name w:val="heading 1"/>
    <w:basedOn w:val="normal1"/>
    <w:next w:val="normal1"/>
    <w:qFormat/>
    <w:pPr>
      <w:keepNext w:val="true"/>
      <w:keepLines/>
      <w:spacing w:lineRule="auto" w:line="240" w:before="480" w:after="0"/>
    </w:pPr>
    <w:rPr>
      <w:rFonts w:ascii="Cambria" w:hAnsi="Cambria" w:eastAsia="Cambria" w:cs="Cambria"/>
      <w:b/>
      <w:bCs/>
      <w:color w:val="366091"/>
      <w:sz w:val="28"/>
      <w:szCs w:val="28"/>
    </w:rPr>
  </w:style>
  <w:style w:type="paragraph" w:styleId="Heading2">
    <w:name w:val="heading 2"/>
    <w:basedOn w:val="normal1"/>
    <w:next w:val="normal1"/>
    <w:qFormat/>
    <w:pPr>
      <w:keepNext w:val="true"/>
      <w:keepLines/>
      <w:pageBreakBefore w:val="false"/>
      <w:spacing w:lineRule="auto" w:line="240" w:before="360" w:after="80"/>
    </w:pPr>
    <w:rPr>
      <w:b/>
      <w:bCs/>
      <w:sz w:val="36"/>
      <w:szCs w:val="36"/>
    </w:rPr>
  </w:style>
  <w:style w:type="paragraph" w:styleId="Heading3">
    <w:name w:val="heading 3"/>
    <w:basedOn w:val="normal1"/>
    <w:next w:val="normal1"/>
    <w:qFormat/>
    <w:pPr>
      <w:keepNext w:val="true"/>
      <w:keepLines/>
      <w:pageBreakBefore w:val="false"/>
      <w:spacing w:lineRule="auto" w:line="240" w:before="280" w:after="80"/>
    </w:pPr>
    <w:rPr>
      <w:b/>
      <w:bCs/>
      <w:sz w:val="28"/>
      <w:szCs w:val="28"/>
    </w:rPr>
  </w:style>
  <w:style w:type="paragraph" w:styleId="Heading4">
    <w:name w:val="heading 4"/>
    <w:basedOn w:val="normal1"/>
    <w:next w:val="normal1"/>
    <w:qFormat/>
    <w:pPr>
      <w:keepNext w:val="true"/>
      <w:widowControl/>
      <w:jc w:val="center"/>
    </w:pPr>
    <w:rPr>
      <w:b/>
      <w:bCs/>
      <w:sz w:val="20"/>
      <w:szCs w:val="20"/>
    </w:rPr>
  </w:style>
  <w:style w:type="paragraph" w:styleId="Heading5">
    <w:name w:val="heading 5"/>
    <w:basedOn w:val="normal1"/>
    <w:next w:val="normal1"/>
    <w:qFormat/>
    <w:pPr>
      <w:keepNext w:val="true"/>
      <w:widowControl/>
      <w:ind w:hanging="0" w:start="567"/>
      <w:jc w:val="center"/>
    </w:pPr>
    <w:rPr>
      <w:b/>
      <w:bCs/>
      <w:color w:val="000000"/>
      <w:sz w:val="20"/>
      <w:szCs w:val="20"/>
    </w:rPr>
  </w:style>
  <w:style w:type="paragraph" w:styleId="Heading6">
    <w:name w:val="heading 6"/>
    <w:basedOn w:val="normal1"/>
    <w:next w:val="normal1"/>
    <w:qFormat/>
    <w:pPr>
      <w:keepNext w:val="true"/>
      <w:keepLines/>
      <w:pageBreakBefore w:val="false"/>
      <w:spacing w:lineRule="auto" w:line="240" w:before="200" w:after="40"/>
    </w:pPr>
    <w:rPr>
      <w:b/>
      <w:bCs/>
      <w:sz w:val="20"/>
      <w:szCs w:val="20"/>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normal1" w:default="1">
    <w:name w:val="normal1"/>
    <w:qFormat/>
    <w:pPr>
      <w:widowControl w:val="false"/>
      <w:suppressAutoHyphens w:val="true"/>
      <w:bidi w:val="0"/>
      <w:spacing w:before="0" w:after="0"/>
      <w:jc w:val="start"/>
    </w:pPr>
    <w:rPr>
      <w:rFonts w:ascii="Times New Roman" w:hAnsi="Times New Roman" w:eastAsia="NSimSun" w:cs="Arial"/>
      <w:color w:val="auto"/>
      <w:kern w:val="0"/>
      <w:sz w:val="22"/>
      <w:szCs w:val="22"/>
      <w:lang w:val="en-US" w:eastAsia="zh-CN" w:bidi="hi-IN"/>
    </w:rPr>
  </w:style>
  <w:style w:type="paragraph" w:styleId="Title">
    <w:name w:val="Title"/>
    <w:basedOn w:val="normal1"/>
    <w:next w:val="normal1"/>
    <w:qFormat/>
    <w:pPr>
      <w:keepNext w:val="true"/>
      <w:keepLines/>
      <w:pageBreakBefore w:val="false"/>
      <w:spacing w:lineRule="auto" w:line="240" w:before="480" w:after="120"/>
    </w:pPr>
    <w:rPr>
      <w:b/>
      <w:bCs/>
      <w:sz w:val="72"/>
      <w:szCs w:val="72"/>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iCs/>
      <w:color w:val="666666"/>
      <w:sz w:val="48"/>
      <w:szCs w:val="48"/>
    </w:rPr>
  </w:style>
  <w:style w:type="paragraph" w:styleId="Contedodoquadro">
    <w:name w:val="Conteúdo do quadro"/>
    <w:basedOn w:val="Normal"/>
    <w:qFormat/>
    <w:pPr/>
    <w:rPr/>
  </w:style>
  <w:style w:type="paragraph" w:styleId="Cabealhoerodap">
    <w:name w:val="Cabeçalho e rodapé"/>
    <w:basedOn w:val="Normal"/>
    <w:qFormat/>
    <w:pPr/>
    <w:rPr/>
  </w:style>
  <w:style w:type="paragraph" w:styleId="Cabealhoerodapuser">
    <w:name w:val="Cabeçalho e rodapé (user)"/>
    <w:basedOn w:val="Normal"/>
    <w:qFormat/>
    <w:pPr/>
    <w:rPr/>
  </w:style>
  <w:style w:type="paragraph" w:styleId="Header">
    <w:name w:val="header"/>
    <w:basedOn w:val="Cabealhoerodap"/>
    <w:pPr/>
    <w:rPr/>
  </w:style>
  <w:style w:type="paragraph" w:styleId="Footer">
    <w:name w:val="footer"/>
    <w:basedOn w:val="Cabealhoerodap"/>
    <w:pPr/>
    <w:rPr/>
  </w:style>
  <w:style w:type="paragraph" w:styleId="Contedodoquadrouser">
    <w:name w:val="Conteúdo do quadro (user)"/>
    <w:basedOn w:val="Normal"/>
    <w:qFormat/>
    <w:pPr/>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pt-br" TargetMode="External"/><Relationship Id="rId3"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mf.sc.gov.br/" TargetMode="External"/><Relationship Id="rId5" Type="http://schemas.openxmlformats.org/officeDocument/2006/relationships/hyperlink" Target="http://www.gov.br/compras/pt-br" TargetMode="External"/><Relationship Id="rId6" Type="http://schemas.openxmlformats.org/officeDocument/2006/relationships/hyperlink" Target="https://www.gov.br/compras/pt-br/acesso-a-informacao/legislacao/instrucoes-normativas/instrucao-normativa-no-3-de-26-de-abril-de-2018" TargetMode="External"/><Relationship Id="rId7" Type="http://schemas.openxmlformats.org/officeDocument/2006/relationships/hyperlink" Target="http://www.gov.br/compras/pt-br" TargetMode="External"/><Relationship Id="rId8" Type="http://schemas.openxmlformats.org/officeDocument/2006/relationships/hyperlink" Target="http://www.pmf.sc.gov.br/" TargetMode="External"/><Relationship Id="rId9" Type="http://schemas.openxmlformats.org/officeDocument/2006/relationships/hyperlink" Target="http://www.gov.br/compras/pt-br" TargetMode="External"/><Relationship Id="rId10" Type="http://schemas.openxmlformats.org/officeDocument/2006/relationships/hyperlink" Target="http://www.gov.br/compras/pt-br" TargetMode="External"/><Relationship Id="rId11" Type="http://schemas.openxmlformats.org/officeDocument/2006/relationships/hyperlink" Target="about:blank" TargetMode="External"/><Relationship Id="rId12" Type="http://schemas.openxmlformats.org/officeDocument/2006/relationships/hyperlink" Target="mailto:gerencialicitacao@pmf.sc.gov.br" TargetMode="External"/><Relationship Id="rId13" Type="http://schemas.openxmlformats.org/officeDocument/2006/relationships/hyperlink" Target="mailto:gerencialicitacao@pmf.sc.gov.br" TargetMode="External"/><Relationship Id="rId14" Type="http://schemas.openxmlformats.org/officeDocument/2006/relationships/hyperlink" Target="http://www.pmf.sc.gov.br/" TargetMode="External"/><Relationship Id="rId15" Type="http://schemas.openxmlformats.org/officeDocument/2006/relationships/hyperlink" Target="http://www.gov.br/compras/pt-br" TargetMode="External"/><Relationship Id="rId16" Type="http://schemas.openxmlformats.org/officeDocument/2006/relationships/hyperlink" Target="mailto:gerencialicitacao@pmf.sc.gov.br" TargetMode="External"/><Relationship Id="rId17" Type="http://schemas.openxmlformats.org/officeDocument/2006/relationships/hyperlink" Target="http://www.pmf.sc.gov.br/" TargetMode="External"/><Relationship Id="rId18" Type="http://schemas.openxmlformats.org/officeDocument/2006/relationships/hyperlink" Target="about:blank" TargetMode="External"/><Relationship Id="rId19" Type="http://schemas.openxmlformats.org/officeDocument/2006/relationships/image" Target="media/image1.png"/><Relationship Id="rId20" Type="http://schemas.openxmlformats.org/officeDocument/2006/relationships/image" Target="media/image2.png"/><Relationship Id="rId21" Type="http://schemas.openxmlformats.org/officeDocument/2006/relationships/image" Target="media/image3.png"/><Relationship Id="rId22" Type="http://schemas.openxmlformats.org/officeDocument/2006/relationships/hyperlink" Target="http://www.guiatrabalhista.com.br/legislacao/nr/nr1.htm" TargetMode="External"/><Relationship Id="rId23" Type="http://schemas.openxmlformats.org/officeDocument/2006/relationships/hyperlink" Target="http://www.guiatrabalhista.com.br/legislacao/nr/nr3.htm" TargetMode="External"/><Relationship Id="rId24" Type="http://schemas.openxmlformats.org/officeDocument/2006/relationships/hyperlink" Target="http://www.guiatrabalhista.com.br/legislacao/nr/nr4.htm" TargetMode="External"/><Relationship Id="rId25" Type="http://schemas.openxmlformats.org/officeDocument/2006/relationships/hyperlink" Target="http://www.guiatrabalhista.com.br/legislacao/nr/nr5.htm" TargetMode="External"/><Relationship Id="rId26" Type="http://schemas.openxmlformats.org/officeDocument/2006/relationships/hyperlink" Target="http://www.guiatrabalhista.com.br/cipa.htm" TargetMode="External"/><Relationship Id="rId27" Type="http://schemas.openxmlformats.org/officeDocument/2006/relationships/hyperlink" Target="http://www.guiatrabalhista.com.br/legislacao/nr/nr6.htm" TargetMode="External"/><Relationship Id="rId28" Type="http://schemas.openxmlformats.org/officeDocument/2006/relationships/hyperlink" Target="http://www.guiatrabalhista.com.br/legislacao/nr/nr7.htm" TargetMode="External"/><Relationship Id="rId29" Type="http://schemas.openxmlformats.org/officeDocument/2006/relationships/hyperlink" Target="http://www.guiatrabalhista.com.br/legislacao/nr/nr9.htm" TargetMode="External"/><Relationship Id="rId30" Type="http://schemas.openxmlformats.org/officeDocument/2006/relationships/hyperlink" Target="http://www.guiatrabalhista.com.br/legislacao/nr/nr10.htm" TargetMode="External"/><Relationship Id="rId31" Type="http://schemas.openxmlformats.org/officeDocument/2006/relationships/hyperlink" Target="http://www.guiatrabalhista.com.br/legislacao/nr/nr11.htm" TargetMode="External"/><Relationship Id="rId32" Type="http://schemas.openxmlformats.org/officeDocument/2006/relationships/hyperlink" Target="http://www.guiatrabalhista.com.br/legislacao/nr/nr12.htm" TargetMode="External"/><Relationship Id="rId33" Type="http://schemas.openxmlformats.org/officeDocument/2006/relationships/hyperlink" Target="http://www.guiatrabalhista.com.br/legislacao/nr/nr15.htm" TargetMode="External"/><Relationship Id="rId34" Type="http://schemas.openxmlformats.org/officeDocument/2006/relationships/hyperlink" Target="http://www.guiatrabalhista.com.br/legislacao/nr/nr16.htm" TargetMode="External"/><Relationship Id="rId35" Type="http://schemas.openxmlformats.org/officeDocument/2006/relationships/hyperlink" Target="http://www.guiatrabalhista.com.br/legislacao/nr/nr17.htm" TargetMode="External"/><Relationship Id="rId36" Type="http://schemas.openxmlformats.org/officeDocument/2006/relationships/hyperlink" Target="http://www.guiatrabalhista.com.br/legislacao/nr/nr18.htm" TargetMode="External"/><Relationship Id="rId37" Type="http://schemas.openxmlformats.org/officeDocument/2006/relationships/hyperlink" Target="http://www.guiatrabalhista.com.br/legislacao/nr/nr20.htm" TargetMode="External"/><Relationship Id="rId38" Type="http://schemas.openxmlformats.org/officeDocument/2006/relationships/hyperlink" Target="http://www.guiatrabalhista.com.br/legislacao/nr/nr21.htm" TargetMode="External"/><Relationship Id="rId39" Type="http://schemas.openxmlformats.org/officeDocument/2006/relationships/hyperlink" Target="http://www.guiatrabalhista.com.br/legislacao/nr/nr23.htm" TargetMode="External"/><Relationship Id="rId40" Type="http://schemas.openxmlformats.org/officeDocument/2006/relationships/hyperlink" Target="http://www.guiatrabalhista.com.br/legislacao/nr/nr24.htm" TargetMode="External"/><Relationship Id="rId41" Type="http://schemas.openxmlformats.org/officeDocument/2006/relationships/hyperlink" Target="http://www.guiatrabalhista.com.br/legislacao/nr/nr25.htm" TargetMode="External"/><Relationship Id="rId42" Type="http://schemas.openxmlformats.org/officeDocument/2006/relationships/hyperlink" Target="http://www.guiatrabalhista.com.br/legislacao/nr/nr26.htm" TargetMode="External"/><Relationship Id="rId43" Type="http://schemas.openxmlformats.org/officeDocument/2006/relationships/hyperlink" Target="http://www.guiatrabalhista.com.br/legislacao/nr/nr28.htm" TargetMode="External"/><Relationship Id="rId44" Type="http://schemas.openxmlformats.org/officeDocument/2006/relationships/hyperlink" Target="http://www.guiatrabalhista.com.br/legislacao/nr/nr33.htm" TargetMode="External"/><Relationship Id="rId45" Type="http://schemas.openxmlformats.org/officeDocument/2006/relationships/hyperlink" Target="http://www.guiatrabalhista.com.br/legislacao/nr/nr35.htm" TargetMode="External"/><Relationship Id="rId46" Type="http://schemas.openxmlformats.org/officeDocument/2006/relationships/image" Target="media/image4.png"/><Relationship Id="rId47" Type="http://schemas.openxmlformats.org/officeDocument/2006/relationships/header" Target="header1.xml"/><Relationship Id="rId48" Type="http://schemas.openxmlformats.org/officeDocument/2006/relationships/header" Target="header2.xml"/><Relationship Id="rId49" Type="http://schemas.openxmlformats.org/officeDocument/2006/relationships/header" Target="header3.xml"/><Relationship Id="rId50" Type="http://schemas.openxmlformats.org/officeDocument/2006/relationships/footer" Target="footer1.xml"/><Relationship Id="rId51" Type="http://schemas.openxmlformats.org/officeDocument/2006/relationships/footer" Target="footer2.xml"/><Relationship Id="rId52" Type="http://schemas.openxmlformats.org/officeDocument/2006/relationships/footer" Target="footer3.xml"/><Relationship Id="rId53" Type="http://schemas.openxmlformats.org/officeDocument/2006/relationships/numbering" Target="numbering.xml"/><Relationship Id="rId54" Type="http://schemas.openxmlformats.org/officeDocument/2006/relationships/fontTable" Target="fontTable.xml"/><Relationship Id="rId55" Type="http://schemas.openxmlformats.org/officeDocument/2006/relationships/settings" Target="settings.xml"/><Relationship Id="rId56" Type="http://schemas.openxmlformats.org/officeDocument/2006/relationships/theme" Target="theme/theme1.xml"/><Relationship Id="rId57" Type="http://schemas.openxmlformats.org/officeDocument/2006/relationships/customXml" Target="../customXml/item1.xml"/>
</Relationships>
</file>

<file path=word/_rels/fontTable.xml.rels><?xml version="1.0" encoding="UTF-8"?>
<Relationships xmlns="http://schemas.openxmlformats.org/package/2006/relationships"><Relationship Id="rId1" Type="http://schemas.openxmlformats.org/officeDocument/2006/relationships/font" Target="fonts/font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
</Relationships>
</file>

<file path=word/_rels/header2.xml.rels><?xml version="1.0" encoding="UTF-8"?>
<Relationships xmlns="http://schemas.openxmlformats.org/package/2006/relationships"><Relationship Id="rId1" Type="http://schemas.openxmlformats.org/officeDocument/2006/relationships/image" Target="media/image5.png"/>
</Relationships>
</file>

<file path=word/_rels/header3.xml.rels><?xml version="1.0" encoding="UTF-8"?>
<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3nwNlJPshjZL9L0jV4qfZlIJImQ==">CgMxLjAaHwoBMBIaChgICVIUChJ0YWJsZS4zaWJ4eWtybW5qZm0aHwoBMRIaChgICVIUChJ0YWJsZS54M3ZhdG14amdxaXoaJAoBMhIfCh0IB0IZCgVBcmlhbBIQQXJpYWwgVW5pY29kZSBNUxokCgEzEh8KHQgHQhkKBUFyaWFsEhBBcmlhbCBVbmljb2RlIE1TMgloLjMwajB6bGwyDmguM2FjZHByeGdwZHJwMg5oLjZreXB4c281cGJrcjIOaC5qZnlodHZlNzlid3o4AHIhMU1qZ3lGcDFxWkduX1llNnhsWlloa3RDOGdFRTNGb1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14</TotalTime>
  <Application>LibreOffice/26.2.4.2$Windows_X86_64 LibreOffice_project/0229ac93fcf0d7cbc6376066c6f35021cef002dc</Application>
  <AppVersion>15.0000</AppVersion>
  <Pages>76</Pages>
  <Words>25908</Words>
  <Characters>148724</Characters>
  <CharactersWithSpaces>173138</CharactersWithSpaces>
  <Paragraphs>1626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2026-07-08T16:56:09Z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2023-04-03T00:00:00Z</vt:lpwstr>
  </property>
  <property fmtid="{D5CDD505-2E9C-101B-9397-08002B2CF9AE}" pid="3" name="LastSaved">
    <vt:lpwstr>2023-04-03T00:00:00Z</vt:lpwstr>
  </property>
</Properties>
</file>